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D" w:rsidRPr="00D945C5" w:rsidRDefault="00D945C5" w:rsidP="00F64E26">
      <w:pPr>
        <w:spacing w:after="0" w:afterAutospacing="0" w:line="240" w:lineRule="auto"/>
        <w:jc w:val="center"/>
        <w:rPr>
          <w:rFonts w:ascii="Calibri" w:hAnsi="Calibri" w:cs="Calibri"/>
          <w:sz w:val="22"/>
          <w:szCs w:val="22"/>
          <w:lang w:val="ro-RO"/>
        </w:rPr>
      </w:pPr>
      <w:r w:rsidRPr="00BF3C2F">
        <w:rPr>
          <w:rFonts w:ascii="Calibri" w:hAnsi="Calibri" w:cs="Calibri"/>
          <w:sz w:val="22"/>
          <w:szCs w:val="22"/>
          <w:lang w:val="ro-RO"/>
        </w:rPr>
        <w:t>MD-20</w:t>
      </w:r>
      <w:r w:rsidR="001B2178">
        <w:rPr>
          <w:rFonts w:ascii="Calibri" w:hAnsi="Calibri" w:cs="Calibri"/>
          <w:sz w:val="22"/>
          <w:szCs w:val="22"/>
          <w:lang w:val="ro-RO"/>
        </w:rPr>
        <w:t>60</w:t>
      </w:r>
      <w:r w:rsidRPr="00BF3C2F">
        <w:rPr>
          <w:rFonts w:ascii="Calibri" w:hAnsi="Calibri" w:cs="Calibri"/>
          <w:sz w:val="22"/>
          <w:szCs w:val="22"/>
          <w:lang w:val="ro-RO"/>
        </w:rPr>
        <w:t>, CHIŞINĂU, bd. DACIA  41, tel:  0 22 77-39-96</w:t>
      </w:r>
      <w:r w:rsidR="00E84419" w:rsidRPr="00D945C5">
        <w:rPr>
          <w:rFonts w:ascii="Calibri" w:hAnsi="Calibri" w:cs="Calibri"/>
          <w:sz w:val="22"/>
          <w:szCs w:val="22"/>
          <w:lang w:val="ro-RO"/>
        </w:rPr>
        <w:t xml:space="preserve">, </w:t>
      </w:r>
      <w:hyperlink r:id="rId8" w:history="1">
        <w:r w:rsidR="00E84419" w:rsidRPr="00D945C5">
          <w:rPr>
            <w:rStyle w:val="af4"/>
            <w:rFonts w:ascii="Calibri" w:hAnsi="Calibri" w:cs="Calibri"/>
            <w:sz w:val="22"/>
            <w:szCs w:val="22"/>
            <w:lang w:val="ro-RO"/>
          </w:rPr>
          <w:t>www.utm.md</w:t>
        </w:r>
      </w:hyperlink>
    </w:p>
    <w:p w:rsidR="00E84419" w:rsidRPr="00D945C5" w:rsidRDefault="00E84419" w:rsidP="00F64E26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p w:rsidR="00ED6734" w:rsidRPr="00D945C5" w:rsidRDefault="00D14158" w:rsidP="00F64E26">
      <w:pPr>
        <w:spacing w:after="0" w:afterAutospacing="0" w:line="24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</w:rPr>
        <w:t>PROCEDURA ȘI PRACTICA CEDO</w:t>
      </w: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af5"/>
        <w:tblW w:w="10065" w:type="dxa"/>
        <w:tblInd w:w="-34" w:type="dxa"/>
        <w:tblLook w:val="04A0"/>
      </w:tblPr>
      <w:tblGrid>
        <w:gridCol w:w="2977"/>
        <w:gridCol w:w="1418"/>
        <w:gridCol w:w="1559"/>
        <w:gridCol w:w="1559"/>
        <w:gridCol w:w="1560"/>
        <w:gridCol w:w="992"/>
      </w:tblGrid>
      <w:tr w:rsidR="00ED6734" w:rsidRPr="00D945C5" w:rsidTr="004374DB">
        <w:tc>
          <w:tcPr>
            <w:tcW w:w="2977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Cadastru, Geodezie și Construcții</w:t>
            </w:r>
          </w:p>
        </w:tc>
      </w:tr>
      <w:tr w:rsidR="00ED6734" w:rsidRPr="00D945C5" w:rsidTr="004374DB">
        <w:tc>
          <w:tcPr>
            <w:tcW w:w="2977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Drept Patrimonial</w:t>
            </w:r>
          </w:p>
        </w:tc>
      </w:tr>
      <w:tr w:rsidR="00ED6734" w:rsidRPr="00D945C5" w:rsidTr="004374DB">
        <w:tc>
          <w:tcPr>
            <w:tcW w:w="2977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D6734" w:rsidRPr="00D945C5" w:rsidTr="004374DB">
        <w:tc>
          <w:tcPr>
            <w:tcW w:w="2977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381.1 Drept</w:t>
            </w:r>
          </w:p>
        </w:tc>
      </w:tr>
      <w:tr w:rsidR="00D945C5" w:rsidRPr="00D945C5" w:rsidTr="004374DB">
        <w:tc>
          <w:tcPr>
            <w:tcW w:w="2977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D945C5" w:rsidRPr="00D945C5" w:rsidTr="004374DB">
        <w:tc>
          <w:tcPr>
            <w:tcW w:w="2977" w:type="dxa"/>
          </w:tcPr>
          <w:p w:rsidR="00F64E26" w:rsidRDefault="00D945C5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III (învăţământ cu frecvenţă)</w:t>
            </w:r>
          </w:p>
          <w:p w:rsidR="00D945C5" w:rsidRPr="00D945C5" w:rsidRDefault="00F64E26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IV (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redusă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418" w:type="dxa"/>
          </w:tcPr>
          <w:p w:rsid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6</w:t>
            </w:r>
          </w:p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1559" w:type="dxa"/>
            <w:vAlign w:val="center"/>
          </w:tcPr>
          <w:p w:rsid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</w:t>
            </w:r>
          </w:p>
          <w:p w:rsidR="00D945C5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E, LV</w:t>
            </w:r>
          </w:p>
        </w:tc>
        <w:tc>
          <w:tcPr>
            <w:tcW w:w="1559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  <w:vAlign w:val="center"/>
          </w:tcPr>
          <w:p w:rsidR="00D945C5" w:rsidRPr="00D945C5" w:rsidRDefault="00D945C5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5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af5"/>
        <w:tblW w:w="10065" w:type="dxa"/>
        <w:tblInd w:w="-34" w:type="dxa"/>
        <w:tblLook w:val="04A0"/>
      </w:tblPr>
      <w:tblGrid>
        <w:gridCol w:w="1801"/>
        <w:gridCol w:w="1035"/>
        <w:gridCol w:w="1559"/>
        <w:gridCol w:w="1417"/>
        <w:gridCol w:w="2193"/>
        <w:gridCol w:w="2060"/>
      </w:tblGrid>
      <w:tr w:rsidR="00ED6734" w:rsidRPr="00D945C5" w:rsidTr="00F64E26">
        <w:tc>
          <w:tcPr>
            <w:tcW w:w="1801" w:type="dxa"/>
            <w:vMerge w:val="restart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5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D945C5" w:rsidTr="00F64E26">
        <w:tc>
          <w:tcPr>
            <w:tcW w:w="1801" w:type="dxa"/>
            <w:vMerge/>
          </w:tcPr>
          <w:p w:rsidR="00ED6734" w:rsidRPr="00D945C5" w:rsidRDefault="00ED6734" w:rsidP="00F64E26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70" w:type="dxa"/>
            <w:gridSpan w:val="3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D945C5" w:rsidTr="00F64E26">
        <w:tc>
          <w:tcPr>
            <w:tcW w:w="1801" w:type="dxa"/>
            <w:vMerge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559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Laborator/</w:t>
            </w:r>
            <w:r w:rsidR="00F64E26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seminar</w:t>
            </w:r>
          </w:p>
        </w:tc>
        <w:tc>
          <w:tcPr>
            <w:tcW w:w="1417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Proiect de an</w:t>
            </w:r>
            <w:r w:rsidR="00F64E26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, Lucrare de verificare</w:t>
            </w:r>
          </w:p>
        </w:tc>
        <w:tc>
          <w:tcPr>
            <w:tcW w:w="2193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060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ED6734" w:rsidRPr="00D945C5" w:rsidTr="00F64E26">
        <w:tc>
          <w:tcPr>
            <w:tcW w:w="1801" w:type="dxa"/>
          </w:tcPr>
          <w:p w:rsidR="00ED6734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zi    </w:t>
            </w:r>
            <w:r w:rsidR="00D14158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150</w:t>
            </w:r>
          </w:p>
        </w:tc>
        <w:tc>
          <w:tcPr>
            <w:tcW w:w="1035" w:type="dxa"/>
          </w:tcPr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559" w:type="dxa"/>
          </w:tcPr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</w:t>
            </w:r>
            <w:r w:rsidR="00ED6734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1417" w:type="dxa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2060" w:type="dxa"/>
          </w:tcPr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</w:t>
            </w:r>
            <w:r w:rsidR="00ED6734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</w:t>
            </w:r>
          </w:p>
        </w:tc>
      </w:tr>
      <w:tr w:rsidR="00F64E26" w:rsidRPr="00D945C5" w:rsidTr="00F64E26">
        <w:tc>
          <w:tcPr>
            <w:tcW w:w="1801" w:type="dxa"/>
          </w:tcPr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f/r   150</w:t>
            </w:r>
          </w:p>
        </w:tc>
        <w:tc>
          <w:tcPr>
            <w:tcW w:w="1035" w:type="dxa"/>
          </w:tcPr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1559" w:type="dxa"/>
          </w:tcPr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14</w:t>
            </w:r>
          </w:p>
        </w:tc>
        <w:tc>
          <w:tcPr>
            <w:tcW w:w="1417" w:type="dxa"/>
          </w:tcPr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193" w:type="dxa"/>
          </w:tcPr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60</w:t>
            </w:r>
          </w:p>
        </w:tc>
        <w:tc>
          <w:tcPr>
            <w:tcW w:w="2060" w:type="dxa"/>
          </w:tcPr>
          <w:p w:rsidR="00F64E26" w:rsidRPr="00D945C5" w:rsidRDefault="00F64E2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36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af5"/>
        <w:tblW w:w="10065" w:type="dxa"/>
        <w:tblInd w:w="-34" w:type="dxa"/>
        <w:tblLook w:val="04A0"/>
      </w:tblPr>
      <w:tblGrid>
        <w:gridCol w:w="3261"/>
        <w:gridCol w:w="6804"/>
      </w:tblGrid>
      <w:tr w:rsidR="00ED6734" w:rsidRPr="00D945C5" w:rsidTr="004374DB">
        <w:tc>
          <w:tcPr>
            <w:tcW w:w="3261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eastAsia="MS Mincho" w:hAnsi="Calibri" w:cs="Calibri"/>
                <w:iCs/>
                <w:sz w:val="22"/>
                <w:szCs w:val="22"/>
                <w:lang w:val="ro-RO"/>
              </w:rPr>
              <w:t xml:space="preserve">Teoria generală a dreptului, </w:t>
            </w:r>
            <w:r w:rsidR="009C36BF" w:rsidRPr="00D945C5">
              <w:rPr>
                <w:rFonts w:ascii="Calibri" w:eastAsia="MS Mincho" w:hAnsi="Calibri" w:cs="Calibri"/>
                <w:iCs/>
                <w:sz w:val="22"/>
                <w:szCs w:val="22"/>
                <w:lang w:val="ro-RO"/>
              </w:rPr>
              <w:t xml:space="preserve">Dreptul constituțional, Dreptul </w:t>
            </w:r>
            <w:r w:rsidR="00D14158" w:rsidRPr="00D945C5">
              <w:rPr>
                <w:rFonts w:ascii="Calibri" w:eastAsia="MS Mincho" w:hAnsi="Calibri" w:cs="Calibri"/>
                <w:iCs/>
                <w:sz w:val="22"/>
                <w:szCs w:val="22"/>
                <w:lang w:val="ro-RO"/>
              </w:rPr>
              <w:t>Uniunii Europene</w:t>
            </w:r>
          </w:p>
        </w:tc>
      </w:tr>
      <w:tr w:rsidR="00ED6734" w:rsidRPr="00D945C5" w:rsidTr="004374DB">
        <w:tc>
          <w:tcPr>
            <w:tcW w:w="3261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Interpretarea corectă a normelor legale, 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exprimarea logică și coerentă a ideilor, găsirea 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soluți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ilor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argumentat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 asupra studiilo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 de caz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ind w:left="0" w:firstLine="36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af5"/>
        <w:tblW w:w="10065" w:type="dxa"/>
        <w:tblInd w:w="-34" w:type="dxa"/>
        <w:tblLook w:val="04A0"/>
      </w:tblPr>
      <w:tblGrid>
        <w:gridCol w:w="1899"/>
        <w:gridCol w:w="8166"/>
      </w:tblGrid>
      <w:tr w:rsidR="00ED6734" w:rsidRPr="00D945C5" w:rsidTr="004374DB">
        <w:tc>
          <w:tcPr>
            <w:tcW w:w="1899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Orele de curs se desfășoară în sala de studii</w:t>
            </w:r>
            <w:r w:rsidR="004E651C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,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4E651C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cu utilizarea materialelor didactice vizuale și informative adecvate conținutului cursului, precum 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și sunt însoțite de cursul on-line plasat pe platforma Moodle a UTM</w:t>
            </w:r>
            <w:r w:rsidR="004E651C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. Prezența la ore este obligatorie.</w:t>
            </w:r>
          </w:p>
        </w:tc>
      </w:tr>
      <w:tr w:rsidR="00ED6734" w:rsidRPr="00D945C5" w:rsidTr="004374DB">
        <w:tc>
          <w:tcPr>
            <w:tcW w:w="1899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ED6734" w:rsidRPr="00D945C5" w:rsidRDefault="00A7756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Orele practice se desfășoară în sala de studii</w:t>
            </w:r>
            <w:r w:rsidR="004E651C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, cu implicarea activă a fiecărui student în realizarea diferitor sarcini practice individuale, în grup sau în perechi. Prezența la ore este obligatorie.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af5"/>
        <w:tblW w:w="10065" w:type="dxa"/>
        <w:tblInd w:w="-34" w:type="dxa"/>
        <w:tblLook w:val="04A0"/>
      </w:tblPr>
      <w:tblGrid>
        <w:gridCol w:w="1560"/>
        <w:gridCol w:w="8505"/>
      </w:tblGrid>
      <w:tr w:rsidR="00ED6734" w:rsidRPr="00D945C5" w:rsidTr="004374DB">
        <w:tc>
          <w:tcPr>
            <w:tcW w:w="1560" w:type="dxa"/>
          </w:tcPr>
          <w:p w:rsidR="00ED6734" w:rsidRPr="00D945C5" w:rsidRDefault="00ED6734" w:rsidP="00F64E26">
            <w:pPr>
              <w:widowControl w:val="0"/>
              <w:spacing w:after="0" w:afterAutospacing="0" w:line="240" w:lineRule="auto"/>
              <w:ind w:left="100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B66186" w:rsidRPr="00D945C5" w:rsidRDefault="00B66186" w:rsidP="00F64E26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CP</w:t>
            </w:r>
            <w:r w:rsidR="009C36BF" w:rsidRPr="00D945C5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3</w:t>
            </w:r>
            <w:r w:rsidRPr="00D945C5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9C36BF" w:rsidRPr="00D945C5">
              <w:rPr>
                <w:rFonts w:ascii="Calibri" w:hAnsi="Calibri" w:cs="Calibri"/>
                <w:noProof/>
                <w:color w:val="000000"/>
                <w:sz w:val="22"/>
                <w:szCs w:val="22"/>
                <w:lang w:val="ro-MO"/>
              </w:rPr>
              <w:t>Aplicarea capacităţilor logice, comparative şi deductive în soluţionarea litigiilor de drept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.</w:t>
            </w:r>
          </w:p>
          <w:p w:rsidR="00B66186" w:rsidRPr="00D945C5" w:rsidRDefault="009C36BF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 xml:space="preserve">Identificarea, explicarea şi interpretarea normelor juridice din sistemul de drept al RM, aplicabile în </w:t>
            </w:r>
            <w:r w:rsidR="008F0E8C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domeniul apărării drepturilor omului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, prin utilizarea cunoştinţelor însuşite</w:t>
            </w:r>
            <w:r w:rsidR="00B66186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.</w:t>
            </w:r>
          </w:p>
          <w:p w:rsidR="00B66186" w:rsidRPr="00D945C5" w:rsidRDefault="009C36BF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 xml:space="preserve">Realizarea studiului juridic şi distingerea între prevederile relevante faţă de cele irelevante care au incidenţă în examinarea și soluționarea cauzelor </w:t>
            </w:r>
            <w:r w:rsidR="003E7B87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de încălcare a drepturilor omului garantate de CEDO</w:t>
            </w:r>
            <w:r w:rsidR="00B66186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.</w:t>
            </w:r>
          </w:p>
          <w:p w:rsidR="00ED6734" w:rsidRPr="00D945C5" w:rsidRDefault="009C36BF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 xml:space="preserve">Elaborarea de studii profesionale cu utilizarea </w:t>
            </w:r>
            <w:r w:rsidR="003E7B87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conceptelor/principiilor CEDO și a jurisprudenței CtEDO</w:t>
            </w:r>
            <w:r w:rsidR="00B66186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.</w:t>
            </w:r>
          </w:p>
        </w:tc>
      </w:tr>
      <w:tr w:rsidR="008F0E8C" w:rsidRPr="00D945C5" w:rsidTr="004374DB">
        <w:tc>
          <w:tcPr>
            <w:tcW w:w="1560" w:type="dxa"/>
          </w:tcPr>
          <w:p w:rsidR="008F0E8C" w:rsidRPr="00D945C5" w:rsidRDefault="008F0E8C" w:rsidP="00F64E26">
            <w:pPr>
              <w:widowControl w:val="0"/>
              <w:spacing w:after="0" w:afterAutospacing="0" w:line="240" w:lineRule="auto"/>
              <w:ind w:left="100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Competenţe 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profesionale</w:t>
            </w:r>
          </w:p>
        </w:tc>
        <w:tc>
          <w:tcPr>
            <w:tcW w:w="8505" w:type="dxa"/>
          </w:tcPr>
          <w:p w:rsidR="008F0E8C" w:rsidRPr="00D945C5" w:rsidRDefault="008F0E8C" w:rsidP="00F64E26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lastRenderedPageBreak/>
              <w:t>CP4.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Interpretarea, corelarea şi compararea instituţiilor juridice din dreptul naţional, 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lastRenderedPageBreak/>
              <w:t>dreptul european şi dreptul altor state. Utilizarea legislaţiei în vigoare în analiza situaţiilor juridice, în încadrarea lor corectă din punct de vedere juridic şi în soluţionarea lor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.</w:t>
            </w:r>
          </w:p>
          <w:p w:rsidR="008F0E8C" w:rsidRPr="00D945C5" w:rsidRDefault="008F0E8C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Definirea conceptelor şi analiza acestora, precum şi a metodelor şi teoriilor utilizate în interpretarea şi compararea instituţiilor din dreptul naţional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cu cele utilizate la nivelul CtEDO, inclusiv 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prin utilizarea metodelor comparative şi interpretative.</w:t>
            </w:r>
          </w:p>
          <w:p w:rsidR="008F0E8C" w:rsidRPr="00D945C5" w:rsidRDefault="008F0E8C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Realizarea de corelaţii şi comparaţii între instituţii ale sistemului de drept naţional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cu cele europene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, într-un context determinat, cu utilizarea metodelor şi tehnicilor specifice.</w:t>
            </w:r>
          </w:p>
          <w:p w:rsidR="003E7B87" w:rsidRPr="00D945C5" w:rsidRDefault="008F0E8C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Interpretarea şi evaluarea metodelor specifice ce pot fi utilizate pentru determinarea raportului dintre instituţiile dreptului naţional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cu cele 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europe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ne.</w:t>
            </w:r>
          </w:p>
          <w:p w:rsidR="008F0E8C" w:rsidRPr="00D945C5" w:rsidRDefault="008F0E8C" w:rsidP="00F64E26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Elaborarea de proiecte profesionale cu utilizarea metodelor de comparare a legislaţiei naţionale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cu cea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europe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n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ă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8F0E8C" w:rsidRPr="00D945C5" w:rsidTr="004374DB">
        <w:tc>
          <w:tcPr>
            <w:tcW w:w="1560" w:type="dxa"/>
          </w:tcPr>
          <w:p w:rsidR="008F0E8C" w:rsidRPr="00D945C5" w:rsidRDefault="008F0E8C" w:rsidP="00F64E26">
            <w:pPr>
              <w:widowControl w:val="0"/>
              <w:spacing w:after="0" w:afterAutospacing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Competenţe transversale</w:t>
            </w:r>
          </w:p>
        </w:tc>
        <w:tc>
          <w:tcPr>
            <w:tcW w:w="8505" w:type="dxa"/>
          </w:tcPr>
          <w:p w:rsidR="008F0E8C" w:rsidRPr="00D945C5" w:rsidRDefault="008F0E8C" w:rsidP="00F64E26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ro-MO"/>
              </w:rPr>
            </w:pPr>
            <w:r w:rsidRPr="00D945C5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CT1.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Realizarea sarcinilor profesionale în mod eficient și responsabil, cu respectarea regulilor deontologice specifice 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profesiei juridice</w:t>
            </w:r>
          </w:p>
        </w:tc>
      </w:tr>
      <w:tr w:rsidR="00BF685E" w:rsidRPr="00D945C5" w:rsidTr="004374DB">
        <w:tc>
          <w:tcPr>
            <w:tcW w:w="1560" w:type="dxa"/>
          </w:tcPr>
          <w:p w:rsidR="00BF685E" w:rsidRPr="00D945C5" w:rsidRDefault="00BF685E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505" w:type="dxa"/>
          </w:tcPr>
          <w:p w:rsidR="00BF685E" w:rsidRPr="00D945C5" w:rsidRDefault="00BF685E" w:rsidP="00F64E26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CT2.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Aplicarea tehnicilor de muncă eficientă în echipă (cu elemente de interdisciplinaritate), cu respectarea ierarhiei legilor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 xml:space="preserve"> și a tratatelor internaționale</w:t>
            </w:r>
          </w:p>
        </w:tc>
      </w:tr>
    </w:tbl>
    <w:p w:rsidR="005C71E7" w:rsidRPr="00D945C5" w:rsidRDefault="005C71E7" w:rsidP="00F64E26">
      <w:pPr>
        <w:spacing w:after="0" w:afterAutospacing="0" w:line="240" w:lineRule="auto"/>
        <w:rPr>
          <w:rFonts w:ascii="Calibri" w:hAnsi="Calibri" w:cs="Calibri"/>
          <w:sz w:val="22"/>
          <w:szCs w:val="22"/>
          <w:highlight w:val="yellow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af5"/>
        <w:tblW w:w="10065" w:type="dxa"/>
        <w:tblInd w:w="-34" w:type="dxa"/>
        <w:tblLook w:val="04A0"/>
      </w:tblPr>
      <w:tblGrid>
        <w:gridCol w:w="2127"/>
        <w:gridCol w:w="7938"/>
      </w:tblGrid>
      <w:tr w:rsidR="00ED6734" w:rsidRPr="00D945C5" w:rsidTr="002B49E8">
        <w:tc>
          <w:tcPr>
            <w:tcW w:w="2127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ED6734" w:rsidRPr="00D945C5" w:rsidRDefault="009C36BF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 xml:space="preserve">Crearea unei viziuni clare asupra reglementărilor 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CEDO și </w:t>
            </w:r>
            <w:r w:rsidR="00D14158" w:rsidRPr="00D945C5">
              <w:rPr>
                <w:rFonts w:ascii="Calibri" w:hAnsi="Calibri" w:cs="Calibri"/>
                <w:snapToGrid w:val="0"/>
                <w:sz w:val="22"/>
                <w:szCs w:val="22"/>
                <w:lang w:val="ro-RO"/>
              </w:rPr>
              <w:t>interpretarea câ</w:t>
            </w:r>
            <w:r w:rsidR="00D14158" w:rsidRPr="00D945C5">
              <w:rPr>
                <w:rFonts w:ascii="Calibri" w:hAnsi="Calibri" w:cs="Calibri"/>
                <w:snapToGrid w:val="0"/>
                <w:color w:val="191919"/>
                <w:sz w:val="22"/>
                <w:szCs w:val="22"/>
                <w:lang w:val="ro-RO"/>
              </w:rPr>
              <w:t xml:space="preserve">t mai corectă a 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Convenției, care constituie parte integrantă a sistemului legal intern, </w:t>
            </w:r>
            <w:r w:rsidR="00D14158" w:rsidRPr="00D945C5">
              <w:rPr>
                <w:rFonts w:ascii="Calibri" w:hAnsi="Calibri" w:cs="Calibri"/>
                <w:snapToGrid w:val="0"/>
                <w:color w:val="191919"/>
                <w:sz w:val="22"/>
                <w:szCs w:val="22"/>
                <w:lang w:val="ro-RO"/>
              </w:rPr>
              <w:t xml:space="preserve">precum şi formarea deprinderilor utilizării corecte şi eficiente 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a termenilor folosiţi în Convenție şi în jurisprudenţa Curții,</w:t>
            </w:r>
            <w:r w:rsidR="00D14158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în scopul utilizării cunoștințelor dobândite, în cadrul viitoarei cariere profesionale</w:t>
            </w:r>
            <w:r w:rsidR="000F5F50" w:rsidRPr="00D945C5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ED6734" w:rsidRPr="00D945C5" w:rsidTr="002B49E8">
        <w:tc>
          <w:tcPr>
            <w:tcW w:w="2127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D14158" w:rsidRPr="00D945C5" w:rsidRDefault="004E651C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 xml:space="preserve">Să </w:t>
            </w:r>
            <w:r w:rsidR="00D14158" w:rsidRPr="00D945C5">
              <w:rPr>
                <w:rFonts w:ascii="Calibri" w:hAnsi="Calibri" w:cs="Calibri"/>
                <w:sz w:val="22"/>
                <w:szCs w:val="22"/>
                <w:lang w:val="ro-RO"/>
              </w:rPr>
              <w:t>c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unoa</w:t>
            </w:r>
            <w:r w:rsidR="00D14158" w:rsidRPr="00D945C5">
              <w:rPr>
                <w:rFonts w:ascii="Calibri" w:hAnsi="Calibri" w:cs="Calibri"/>
                <w:sz w:val="22"/>
                <w:szCs w:val="22"/>
                <w:lang w:val="ro-RO"/>
              </w:rPr>
              <w:t>scă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  </w:t>
            </w:r>
            <w:r w:rsidR="00D14158" w:rsidRPr="00D945C5">
              <w:rPr>
                <w:rFonts w:ascii="Calibri" w:hAnsi="Calibri" w:cs="Calibri"/>
                <w:sz w:val="22"/>
                <w:szCs w:val="22"/>
                <w:lang w:val="ro-RO"/>
              </w:rPr>
              <w:t xml:space="preserve">conceptele de bază și 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principiil</w:t>
            </w:r>
            <w:r w:rsidR="00D14158" w:rsidRPr="00D945C5">
              <w:rPr>
                <w:rFonts w:ascii="Calibri" w:hAnsi="Calibri" w:cs="Calibri"/>
                <w:sz w:val="22"/>
                <w:szCs w:val="22"/>
                <w:lang w:val="ro-RO"/>
              </w:rPr>
              <w:t>e</w:t>
            </w:r>
            <w:r w:rsidR="00D14158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 </w:t>
            </w:r>
            <w:r w:rsidR="00D14158" w:rsidRPr="00D945C5">
              <w:rPr>
                <w:rFonts w:ascii="Calibri" w:hAnsi="Calibri" w:cs="Calibri"/>
                <w:sz w:val="22"/>
                <w:szCs w:val="22"/>
                <w:lang w:val="ro-RO"/>
              </w:rPr>
              <w:t>cu care se operează în cadrul CtEDO.</w:t>
            </w:r>
          </w:p>
          <w:p w:rsidR="00D14158" w:rsidRPr="00D945C5" w:rsidRDefault="00D14158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ă interpreteze drepturile și libertățile garantate de CEDO prin prisma </w:t>
            </w:r>
            <w:r w:rsidR="000F5F50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conceptelor și 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principiilor acesteia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D14158" w:rsidRPr="00D945C5" w:rsidRDefault="00D14158" w:rsidP="00F64E26">
            <w:pPr>
              <w:spacing w:after="0" w:afterAutospacing="0" w:line="240" w:lineRule="auto"/>
              <w:ind w:right="191"/>
              <w:jc w:val="both"/>
              <w:rPr>
                <w:rFonts w:ascii="Calibri" w:hAnsi="Calibri" w:cs="Calibri"/>
                <w:i/>
                <w:i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iCs/>
                <w:sz w:val="22"/>
                <w:szCs w:val="22"/>
                <w:lang w:val="ro-RO"/>
              </w:rPr>
              <w:t>S</w:t>
            </w:r>
            <w:r w:rsidRPr="00D945C5">
              <w:rPr>
                <w:rFonts w:ascii="Calibri" w:hAnsi="Calibri" w:cs="Calibri"/>
                <w:iCs/>
                <w:color w:val="191919"/>
                <w:sz w:val="22"/>
                <w:szCs w:val="22"/>
                <w:lang w:val="ro-RO"/>
              </w:rPr>
              <w:t xml:space="preserve">ă poată 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determina fără echivoc normele aplicabile pentru intentarea și examinarea cauzelor la CtEDO</w:t>
            </w:r>
            <w:r w:rsidRPr="00D945C5">
              <w:rPr>
                <w:rFonts w:ascii="Calibri" w:hAnsi="Calibri" w:cs="Calibri"/>
                <w:iCs/>
                <w:sz w:val="22"/>
                <w:szCs w:val="22"/>
                <w:lang w:val="ro-RO"/>
              </w:rPr>
              <w:t>.</w:t>
            </w:r>
          </w:p>
          <w:p w:rsidR="00D14158" w:rsidRPr="00D945C5" w:rsidRDefault="00D14158" w:rsidP="00F64E26">
            <w:pPr>
              <w:spacing w:after="0" w:afterAutospacing="0" w:line="240" w:lineRule="auto"/>
              <w:ind w:right="191"/>
              <w:jc w:val="both"/>
              <w:rPr>
                <w:rFonts w:ascii="Calibri" w:hAnsi="Calibri" w:cs="Calibri"/>
                <w:i/>
                <w:i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ă identifice criteriile de admisibilitate a cererilor la CtEDO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D14158" w:rsidRPr="00D945C5" w:rsidRDefault="00D14158" w:rsidP="00F64E26">
            <w:pPr>
              <w:spacing w:after="0" w:afterAutospacing="0" w:line="240" w:lineRule="auto"/>
              <w:ind w:right="191"/>
              <w:jc w:val="both"/>
              <w:rPr>
                <w:rFonts w:ascii="Calibri" w:hAnsi="Calibri" w:cs="Calibri"/>
                <w:i/>
                <w:i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ă dețină cunoștințe și abilități practice de determinare a obiectului şi sarcinii probaţiunii în pric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inile deduse judecății la CtEDO.</w:t>
            </w:r>
          </w:p>
          <w:p w:rsidR="00D14158" w:rsidRPr="00D945C5" w:rsidRDefault="00D14158" w:rsidP="00F64E26">
            <w:pPr>
              <w:spacing w:after="0" w:afterAutospacing="0" w:line="240" w:lineRule="auto"/>
              <w:ind w:right="191"/>
              <w:jc w:val="both"/>
              <w:rPr>
                <w:rFonts w:ascii="Calibri" w:hAnsi="Calibri" w:cs="Calibri"/>
                <w:i/>
                <w:i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ă posede abilități practice de elaborare a actelor de trimitere a cauzelor la CtEDO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  <w:p w:rsidR="00D14158" w:rsidRPr="00D945C5" w:rsidRDefault="00D14158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ă soluţioneze cauze concrete prin referire la drepturile și libertățile garantate de CEDO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, precum și să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  oper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eze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 cu jurisprudenţa Curții în cauzele moldoveneşti</w:t>
            </w:r>
            <w:r w:rsidR="000F5F50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</w:t>
            </w:r>
          </w:p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Să descrie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 modul de funcţi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onare a CtEDO şi efectele hotărâ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rilor acesteia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af5"/>
        <w:tblW w:w="10031" w:type="dxa"/>
        <w:tblLook w:val="04A0"/>
      </w:tblPr>
      <w:tblGrid>
        <w:gridCol w:w="7338"/>
        <w:gridCol w:w="1275"/>
        <w:gridCol w:w="1418"/>
      </w:tblGrid>
      <w:tr w:rsidR="00ED6734" w:rsidRPr="00D945C5" w:rsidTr="00D945C5">
        <w:tc>
          <w:tcPr>
            <w:tcW w:w="7338" w:type="dxa"/>
            <w:vMerge w:val="restart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D945C5" w:rsidTr="00D945C5">
        <w:tc>
          <w:tcPr>
            <w:tcW w:w="7338" w:type="dxa"/>
            <w:vMerge/>
          </w:tcPr>
          <w:p w:rsidR="00ED6734" w:rsidRPr="00D945C5" w:rsidRDefault="00ED6734" w:rsidP="00F64E26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D945C5" w:rsidTr="00D945C5">
        <w:tc>
          <w:tcPr>
            <w:tcW w:w="10031" w:type="dxa"/>
            <w:gridSpan w:val="3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hd w:val="clear" w:color="auto" w:fill="FFFFFF"/>
              <w:spacing w:after="0" w:afterAutospacing="0"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T1. </w:t>
            </w:r>
            <w:r w:rsidR="008F0E8C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Instrumente internaționale de protecție a drepturilor omului</w:t>
            </w:r>
          </w:p>
        </w:tc>
        <w:tc>
          <w:tcPr>
            <w:tcW w:w="1275" w:type="dxa"/>
            <w:vAlign w:val="center"/>
          </w:tcPr>
          <w:p w:rsidR="009C36BF" w:rsidRPr="00D945C5" w:rsidRDefault="009C36BF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hd w:val="clear" w:color="auto" w:fill="FFFFFF"/>
              <w:spacing w:after="0" w:afterAutospacing="0" w:line="240" w:lineRule="auto"/>
              <w:ind w:right="10"/>
              <w:rPr>
                <w:rFonts w:ascii="Calibri" w:hAnsi="Calibri" w:cs="Calibri"/>
                <w:b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T2. </w:t>
            </w:r>
            <w:r w:rsidR="008F0E8C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Drepturile și libertățile garantate de CEDO</w:t>
            </w:r>
          </w:p>
        </w:tc>
        <w:tc>
          <w:tcPr>
            <w:tcW w:w="1275" w:type="dxa"/>
            <w:vAlign w:val="center"/>
          </w:tcPr>
          <w:p w:rsidR="009C36BF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16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hd w:val="clear" w:color="auto" w:fill="FFFFFF"/>
              <w:spacing w:after="0" w:afterAutospacing="0" w:line="240" w:lineRule="auto"/>
              <w:ind w:right="10"/>
              <w:rPr>
                <w:rFonts w:ascii="Calibri" w:hAnsi="Calibri" w:cs="Calibri"/>
                <w:b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T3. </w:t>
            </w:r>
            <w:r w:rsidR="000F5F50" w:rsidRPr="00D945C5">
              <w:rPr>
                <w:rFonts w:ascii="Calibri" w:hAnsi="Calibri" w:cs="Calibri"/>
                <w:sz w:val="22"/>
                <w:szCs w:val="22"/>
                <w:lang w:val="ro-RO"/>
              </w:rPr>
              <w:t>Organizarea și funcționarea Curții</w:t>
            </w:r>
          </w:p>
        </w:tc>
        <w:tc>
          <w:tcPr>
            <w:tcW w:w="1275" w:type="dxa"/>
            <w:vAlign w:val="center"/>
          </w:tcPr>
          <w:p w:rsidR="009C36BF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hd w:val="clear" w:color="auto" w:fill="FFFFFF"/>
              <w:spacing w:after="0" w:afterAutospacing="0" w:line="240" w:lineRule="auto"/>
              <w:rPr>
                <w:rFonts w:ascii="Calibri" w:hAnsi="Calibri" w:cs="Calibri"/>
                <w:b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T4. </w:t>
            </w:r>
            <w:r w:rsidR="008F0E8C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Criterii de admisibilitate a cererilor la Curte</w:t>
            </w:r>
          </w:p>
        </w:tc>
        <w:tc>
          <w:tcPr>
            <w:tcW w:w="1275" w:type="dxa"/>
            <w:vAlign w:val="center"/>
          </w:tcPr>
          <w:p w:rsidR="009C36BF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hd w:val="clear" w:color="auto" w:fill="FFFFFF"/>
              <w:spacing w:after="0" w:afterAutospacing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T5. </w:t>
            </w:r>
            <w:r w:rsidR="008F0E8C"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Procedura de examinare a cererilor de către Curte</w:t>
            </w:r>
          </w:p>
        </w:tc>
        <w:tc>
          <w:tcPr>
            <w:tcW w:w="1275" w:type="dxa"/>
            <w:vAlign w:val="center"/>
          </w:tcPr>
          <w:p w:rsidR="009C36BF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11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pacing w:after="0" w:afterAutospacing="0" w:line="240" w:lineRule="auto"/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9C36BF" w:rsidRPr="00D945C5" w:rsidRDefault="009C36BF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1</w:t>
            </w:r>
            <w:r w:rsidR="009C36BF" w:rsidRPr="00D945C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0</w:t>
            </w:r>
          </w:p>
        </w:tc>
      </w:tr>
    </w:tbl>
    <w:p w:rsidR="00D945C5" w:rsidRPr="00D945C5" w:rsidRDefault="00D945C5" w:rsidP="00F64E26">
      <w:pPr>
        <w:spacing w:after="0" w:afterAutospacing="0" w:line="240" w:lineRule="auto"/>
        <w:rPr>
          <w:rFonts w:ascii="Calibri" w:eastAsia="Calibri" w:hAnsi="Calibri" w:cs="Calibri"/>
          <w:color w:val="auto"/>
          <w:sz w:val="22"/>
          <w:szCs w:val="22"/>
          <w:lang w:val="ro-RO"/>
        </w:rPr>
      </w:pPr>
      <w:bookmarkStart w:id="0" w:name="_GoBack"/>
      <w:bookmarkEnd w:id="0"/>
    </w:p>
    <w:tbl>
      <w:tblPr>
        <w:tblStyle w:val="af5"/>
        <w:tblW w:w="10031" w:type="dxa"/>
        <w:tblLook w:val="04A0"/>
      </w:tblPr>
      <w:tblGrid>
        <w:gridCol w:w="7338"/>
        <w:gridCol w:w="1275"/>
        <w:gridCol w:w="1418"/>
      </w:tblGrid>
      <w:tr w:rsidR="00ED6734" w:rsidRPr="00D945C5" w:rsidTr="00D945C5">
        <w:tc>
          <w:tcPr>
            <w:tcW w:w="7338" w:type="dxa"/>
            <w:vMerge w:val="restart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D945C5" w:rsidTr="00D945C5">
        <w:tc>
          <w:tcPr>
            <w:tcW w:w="7338" w:type="dxa"/>
            <w:vMerge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D945C5" w:rsidTr="00D945C5">
        <w:tc>
          <w:tcPr>
            <w:tcW w:w="10031" w:type="dxa"/>
            <w:gridSpan w:val="3"/>
          </w:tcPr>
          <w:p w:rsidR="00ED6734" w:rsidRPr="00D945C5" w:rsidRDefault="00ED6734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8F0E8C" w:rsidRPr="00D945C5" w:rsidTr="00D945C5">
        <w:tc>
          <w:tcPr>
            <w:tcW w:w="7338" w:type="dxa"/>
            <w:vAlign w:val="center"/>
          </w:tcPr>
          <w:p w:rsidR="008F0E8C" w:rsidRPr="00D945C5" w:rsidRDefault="008F0E8C" w:rsidP="00F64E26">
            <w:pPr>
              <w:shd w:val="clear" w:color="auto" w:fill="FFFFFF"/>
              <w:spacing w:after="0" w:afterAutospacing="0" w:line="24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LL1. 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Instrumente internaționale de protecție a drepturilor omului</w:t>
            </w:r>
          </w:p>
        </w:tc>
        <w:tc>
          <w:tcPr>
            <w:tcW w:w="1275" w:type="dxa"/>
            <w:vAlign w:val="center"/>
          </w:tcPr>
          <w:p w:rsidR="008F0E8C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8F0E8C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8F0E8C" w:rsidRPr="00D945C5" w:rsidTr="00D945C5">
        <w:tc>
          <w:tcPr>
            <w:tcW w:w="7338" w:type="dxa"/>
            <w:vAlign w:val="center"/>
          </w:tcPr>
          <w:p w:rsidR="008F0E8C" w:rsidRPr="00D945C5" w:rsidRDefault="008F0E8C" w:rsidP="00F64E26">
            <w:pPr>
              <w:shd w:val="clear" w:color="auto" w:fill="FFFFFF"/>
              <w:spacing w:after="0" w:afterAutospacing="0" w:line="240" w:lineRule="auto"/>
              <w:ind w:right="10"/>
              <w:rPr>
                <w:rFonts w:ascii="Calibri" w:hAnsi="Calibri" w:cs="Calibri"/>
                <w:b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LL2. 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Drepturile și libertățile garantate de CEDO</w:t>
            </w:r>
          </w:p>
        </w:tc>
        <w:tc>
          <w:tcPr>
            <w:tcW w:w="1275" w:type="dxa"/>
            <w:vAlign w:val="center"/>
          </w:tcPr>
          <w:p w:rsidR="008F0E8C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</w:tcPr>
          <w:p w:rsidR="008F0E8C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8F0E8C" w:rsidRPr="00D945C5" w:rsidTr="00D945C5">
        <w:tc>
          <w:tcPr>
            <w:tcW w:w="7338" w:type="dxa"/>
            <w:vAlign w:val="center"/>
          </w:tcPr>
          <w:p w:rsidR="008F0E8C" w:rsidRPr="00D945C5" w:rsidRDefault="008F0E8C" w:rsidP="00F64E26">
            <w:pPr>
              <w:shd w:val="clear" w:color="auto" w:fill="FFFFFF"/>
              <w:spacing w:after="0" w:afterAutospacing="0" w:line="240" w:lineRule="auto"/>
              <w:ind w:right="10"/>
              <w:rPr>
                <w:rFonts w:ascii="Calibri" w:hAnsi="Calibri" w:cs="Calibri"/>
                <w:b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LL3. </w:t>
            </w:r>
            <w:r w:rsidR="000F5F50" w:rsidRPr="00D945C5">
              <w:rPr>
                <w:rFonts w:ascii="Calibri" w:hAnsi="Calibri" w:cs="Calibri"/>
                <w:sz w:val="22"/>
                <w:szCs w:val="22"/>
                <w:lang w:val="ro-RO"/>
              </w:rPr>
              <w:t>Organizarea și funcționarea Curții</w:t>
            </w:r>
          </w:p>
        </w:tc>
        <w:tc>
          <w:tcPr>
            <w:tcW w:w="1275" w:type="dxa"/>
            <w:vAlign w:val="center"/>
          </w:tcPr>
          <w:p w:rsidR="008F0E8C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8F0E8C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8F0E8C" w:rsidRPr="00D945C5" w:rsidTr="00D945C5">
        <w:tc>
          <w:tcPr>
            <w:tcW w:w="7338" w:type="dxa"/>
            <w:vAlign w:val="center"/>
          </w:tcPr>
          <w:p w:rsidR="008F0E8C" w:rsidRPr="00D945C5" w:rsidRDefault="008F0E8C" w:rsidP="00F64E26">
            <w:pPr>
              <w:shd w:val="clear" w:color="auto" w:fill="FFFFFF"/>
              <w:spacing w:after="0" w:afterAutospacing="0" w:line="240" w:lineRule="auto"/>
              <w:rPr>
                <w:rFonts w:ascii="Calibri" w:hAnsi="Calibri" w:cs="Calibri"/>
                <w:bCs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LL4. 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Criterii de admisibilitate a cererilor la Curte</w:t>
            </w:r>
          </w:p>
        </w:tc>
        <w:tc>
          <w:tcPr>
            <w:tcW w:w="1275" w:type="dxa"/>
            <w:vAlign w:val="center"/>
          </w:tcPr>
          <w:p w:rsidR="008F0E8C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</w:tcPr>
          <w:p w:rsidR="008F0E8C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8F0E8C" w:rsidRPr="00D945C5" w:rsidTr="00D945C5">
        <w:tc>
          <w:tcPr>
            <w:tcW w:w="7338" w:type="dxa"/>
            <w:vAlign w:val="center"/>
          </w:tcPr>
          <w:p w:rsidR="008F0E8C" w:rsidRPr="00D945C5" w:rsidRDefault="008F0E8C" w:rsidP="00F64E26">
            <w:pPr>
              <w:shd w:val="clear" w:color="auto" w:fill="FFFFFF"/>
              <w:spacing w:after="0" w:afterAutospacing="0"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LL5. 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Procedura de examinare a cererilor de către Curte</w:t>
            </w:r>
          </w:p>
        </w:tc>
        <w:tc>
          <w:tcPr>
            <w:tcW w:w="1275" w:type="dxa"/>
            <w:vAlign w:val="center"/>
          </w:tcPr>
          <w:p w:rsidR="008F0E8C" w:rsidRPr="00D945C5" w:rsidRDefault="008F0E8C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10</w:t>
            </w:r>
          </w:p>
        </w:tc>
        <w:tc>
          <w:tcPr>
            <w:tcW w:w="1418" w:type="dxa"/>
          </w:tcPr>
          <w:p w:rsidR="008F0E8C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9C36BF" w:rsidRPr="00D945C5" w:rsidTr="00D945C5">
        <w:tc>
          <w:tcPr>
            <w:tcW w:w="7338" w:type="dxa"/>
            <w:vAlign w:val="center"/>
          </w:tcPr>
          <w:p w:rsidR="009C36BF" w:rsidRPr="00D945C5" w:rsidRDefault="009C36BF" w:rsidP="00F64E26">
            <w:pPr>
              <w:spacing w:after="0" w:afterAutospacing="0" w:line="240" w:lineRule="auto"/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Total lucrări de laborator/seminare:</w:t>
            </w:r>
          </w:p>
        </w:tc>
        <w:tc>
          <w:tcPr>
            <w:tcW w:w="1275" w:type="dxa"/>
          </w:tcPr>
          <w:p w:rsidR="009C36BF" w:rsidRPr="00D945C5" w:rsidRDefault="009C36BF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45C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3</w:t>
            </w:r>
            <w:r w:rsidRPr="00D945C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C36BF" w:rsidRPr="00D945C5" w:rsidRDefault="00F64E26" w:rsidP="00F64E26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  <w:t>14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af5"/>
        <w:tblW w:w="10031" w:type="dxa"/>
        <w:tblLook w:val="04A0"/>
      </w:tblPr>
      <w:tblGrid>
        <w:gridCol w:w="1416"/>
        <w:gridCol w:w="8615"/>
      </w:tblGrid>
      <w:tr w:rsidR="00ED6734" w:rsidRPr="00D945C5" w:rsidTr="00D945C5">
        <w:tc>
          <w:tcPr>
            <w:tcW w:w="1416" w:type="dxa"/>
          </w:tcPr>
          <w:p w:rsidR="00ED6734" w:rsidRPr="00D945C5" w:rsidRDefault="00ED6734" w:rsidP="00F64E26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615" w:type="dxa"/>
          </w:tcPr>
          <w:p w:rsidR="00D14158" w:rsidRPr="00D945C5" w:rsidRDefault="00D14158" w:rsidP="00F64E26">
            <w:pPr>
              <w:numPr>
                <w:ilvl w:val="0"/>
                <w:numId w:val="13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Apostol L.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Sinteza jurisprudenței Curții Europene pentru Drepturile Omului în cauzele versus Moldova. Examinate sub aspectul Articolului 3 din Convenție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Chișinău: Bons Offices, 2010, 500 p.</w:t>
            </w:r>
          </w:p>
          <w:p w:rsidR="00D14158" w:rsidRPr="00D945C5" w:rsidRDefault="00D14158" w:rsidP="00F64E26">
            <w:pPr>
              <w:numPr>
                <w:ilvl w:val="0"/>
                <w:numId w:val="13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Bîrsan C.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Convenţia europeană a drepturilor omului. Comentariu pe articole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Ediția a 2-a. Bucureşti: C.H. Beck, 2005, 1888 p.</w:t>
            </w:r>
          </w:p>
          <w:p w:rsidR="00D14158" w:rsidRPr="00D945C5" w:rsidRDefault="00D14158" w:rsidP="00F64E26">
            <w:pPr>
              <w:numPr>
                <w:ilvl w:val="0"/>
                <w:numId w:val="13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Charrier J-L., Chiriac A.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Codul Convenției Europene a Drepturilor Omului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Traducere din limba franceză. Chișinău: Balacron, 2008, 724 p.</w:t>
            </w:r>
          </w:p>
          <w:p w:rsidR="00D14158" w:rsidRPr="00D945C5" w:rsidRDefault="00D14158" w:rsidP="00F64E26">
            <w:pPr>
              <w:numPr>
                <w:ilvl w:val="0"/>
                <w:numId w:val="13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Clements L., Mole N., Simmons A.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Drepturile europene ale omului: înaintarea unei cauze pe baza Convenției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Chișinău: Cartier, 2005, 544 p.</w:t>
            </w:r>
          </w:p>
          <w:p w:rsidR="00D14158" w:rsidRPr="00D945C5" w:rsidRDefault="00D14158" w:rsidP="00F64E26">
            <w:pPr>
              <w:numPr>
                <w:ilvl w:val="0"/>
                <w:numId w:val="13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Gomien D.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Ghid (Vade-mecum) al Convenției Europene pentru Drepturile Omului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Chișinău: Tipografia Centrală, 2003, 162 p.</w:t>
            </w:r>
          </w:p>
          <w:p w:rsidR="00ED6734" w:rsidRPr="00D945C5" w:rsidRDefault="00D14158" w:rsidP="00F64E26">
            <w:pPr>
              <w:numPr>
                <w:ilvl w:val="0"/>
                <w:numId w:val="13"/>
              </w:numPr>
              <w:spacing w:after="0" w:afterAutospacing="0" w:line="240" w:lineRule="auto"/>
              <w:ind w:left="317" w:hanging="283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Selejan-Guțan B.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Protecția europeană a drepturilor omului. Ediția a 4-a. Include modificările aduse prin Protocolul nr.14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București: C.H. Beck, 2011</w:t>
            </w:r>
            <w:r w:rsidR="009C36BF" w:rsidRPr="00D945C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D6734" w:rsidRPr="00D945C5" w:rsidTr="00D945C5">
        <w:tc>
          <w:tcPr>
            <w:tcW w:w="1416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615" w:type="dxa"/>
          </w:tcPr>
          <w:p w:rsidR="008F0E8C" w:rsidRPr="00D945C5" w:rsidRDefault="008F0E8C" w:rsidP="00F64E26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Poalelungi M., Splavnic S.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Extrateritorialitatea Convenției europene a drepturilor omului: obligații pozitive și jurisdicție. Monografie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Chișinău: Tipografia Centrală, 2014, 300 p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.</w:t>
            </w:r>
          </w:p>
          <w:p w:rsidR="00ED6734" w:rsidRPr="00D945C5" w:rsidRDefault="008F0E8C" w:rsidP="00F64E26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Răducanu T., Morari V., Gribincea V. ș.a.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Procedura și practica CEDO și alte tratate obligatorii pentru RM. Drept comunitar.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 Seria: Suporturi de curs. Cartea a 5-a. Chișinău: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Elan Poligraf SRL, 2008, 296 p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.</w:t>
            </w:r>
          </w:p>
          <w:p w:rsidR="00ED6734" w:rsidRPr="00D945C5" w:rsidRDefault="008F0E8C" w:rsidP="00F64E26">
            <w:pPr>
              <w:numPr>
                <w:ilvl w:val="0"/>
                <w:numId w:val="3"/>
              </w:numPr>
              <w:tabs>
                <w:tab w:val="clear" w:pos="720"/>
                <w:tab w:val="num" w:pos="-1414"/>
                <w:tab w:val="num" w:pos="567"/>
              </w:tabs>
              <w:spacing w:after="0" w:afterAutospacing="0" w:line="240" w:lineRule="auto"/>
              <w:ind w:left="288" w:hanging="288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 xml:space="preserve">Selejean-Guțan B. </w:t>
            </w:r>
            <w:r w:rsidRPr="00D945C5">
              <w:rPr>
                <w:rFonts w:ascii="Calibri" w:hAnsi="Calibri" w:cs="Calibri"/>
                <w:i/>
                <w:color w:val="191919"/>
                <w:sz w:val="22"/>
                <w:szCs w:val="22"/>
                <w:lang w:val="ro-RO"/>
              </w:rPr>
              <w:t>Spațiul european al drepturilor omului: reforme, practici, provocări</w:t>
            </w:r>
            <w:r w:rsidRPr="00D945C5">
              <w:rPr>
                <w:rFonts w:ascii="Calibri" w:hAnsi="Calibri" w:cs="Calibri"/>
                <w:color w:val="191919"/>
                <w:sz w:val="22"/>
                <w:szCs w:val="22"/>
                <w:lang w:val="ro-RO"/>
              </w:rPr>
              <w:t>. Bu</w:t>
            </w:r>
            <w:r w:rsidRPr="00D945C5">
              <w:rPr>
                <w:rFonts w:ascii="Calibri" w:hAnsi="Calibri" w:cs="Calibri"/>
                <w:sz w:val="22"/>
                <w:szCs w:val="22"/>
                <w:lang w:val="ro-RO"/>
              </w:rPr>
              <w:t>curești: C.H. Beck, 2008, 150 p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</w:tbl>
    <w:p w:rsidR="00ED6734" w:rsidRPr="00D945C5" w:rsidRDefault="00ED6734" w:rsidP="00F64E26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ED6734" w:rsidRPr="00D945C5" w:rsidRDefault="00ED6734" w:rsidP="00F64E26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D945C5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Evaluare</w:t>
      </w:r>
    </w:p>
    <w:tbl>
      <w:tblPr>
        <w:tblStyle w:val="af5"/>
        <w:tblW w:w="10031" w:type="dxa"/>
        <w:tblLook w:val="04A0"/>
      </w:tblPr>
      <w:tblGrid>
        <w:gridCol w:w="2212"/>
        <w:gridCol w:w="2213"/>
        <w:gridCol w:w="2213"/>
        <w:gridCol w:w="3393"/>
      </w:tblGrid>
      <w:tr w:rsidR="00ED6734" w:rsidRPr="00D945C5" w:rsidTr="00D945C5">
        <w:tc>
          <w:tcPr>
            <w:tcW w:w="4425" w:type="dxa"/>
            <w:gridSpan w:val="2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393" w:type="dxa"/>
            <w:vMerge w:val="restart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ED6734" w:rsidRPr="00D945C5" w:rsidTr="00D945C5">
        <w:tc>
          <w:tcPr>
            <w:tcW w:w="2212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393" w:type="dxa"/>
            <w:vMerge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D945C5" w:rsidTr="00D945C5">
        <w:tc>
          <w:tcPr>
            <w:tcW w:w="2212" w:type="dxa"/>
          </w:tcPr>
          <w:p w:rsidR="00ED6734" w:rsidRPr="00D945C5" w:rsidRDefault="0077266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zi   </w:t>
            </w:r>
            <w:r w:rsidR="00D14158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  <w:r w:rsidR="00ED6734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  <w:r w:rsidR="00ED6734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:rsidR="00ED6734" w:rsidRPr="00D945C5" w:rsidRDefault="00D14158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393" w:type="dxa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772666" w:rsidRPr="00D945C5" w:rsidTr="00D945C5">
        <w:tc>
          <w:tcPr>
            <w:tcW w:w="2212" w:type="dxa"/>
          </w:tcPr>
          <w:p w:rsidR="00772666" w:rsidRPr="00D945C5" w:rsidRDefault="0077266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f/r    -</w:t>
            </w:r>
          </w:p>
        </w:tc>
        <w:tc>
          <w:tcPr>
            <w:tcW w:w="2213" w:type="dxa"/>
          </w:tcPr>
          <w:p w:rsidR="00772666" w:rsidRPr="00D945C5" w:rsidRDefault="0077266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213" w:type="dxa"/>
          </w:tcPr>
          <w:p w:rsidR="00772666" w:rsidRPr="00D945C5" w:rsidRDefault="0077266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2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0%</w:t>
            </w:r>
          </w:p>
        </w:tc>
        <w:tc>
          <w:tcPr>
            <w:tcW w:w="3393" w:type="dxa"/>
          </w:tcPr>
          <w:p w:rsidR="00772666" w:rsidRPr="00D945C5" w:rsidRDefault="00772666" w:rsidP="00F64E2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8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0%</w:t>
            </w:r>
          </w:p>
        </w:tc>
      </w:tr>
      <w:tr w:rsidR="00ED6734" w:rsidRPr="00D945C5" w:rsidTr="00D945C5">
        <w:tc>
          <w:tcPr>
            <w:tcW w:w="10031" w:type="dxa"/>
            <w:gridSpan w:val="4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D945C5" w:rsidTr="00D945C5">
        <w:tc>
          <w:tcPr>
            <w:tcW w:w="10031" w:type="dxa"/>
            <w:gridSpan w:val="4"/>
            <w:vAlign w:val="center"/>
          </w:tcPr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Prezenţa şi activitatea la prelegeri şi 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seminare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Obţinerea notei minime de „5” la fiecare dintre atestări şi lucrări de </w:t>
            </w:r>
            <w:r w:rsidR="009C36BF"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control</w:t>
            </w: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;</w:t>
            </w:r>
          </w:p>
          <w:p w:rsidR="00ED6734" w:rsidRPr="00D945C5" w:rsidRDefault="00ED6734" w:rsidP="00F64E2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D945C5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Demonstrarea în lucrarea de examinare finală a cunoaşterii condiţiilor de aplicare a procedeelor de modelare constructivă.</w:t>
            </w:r>
          </w:p>
        </w:tc>
      </w:tr>
    </w:tbl>
    <w:p w:rsidR="00E84419" w:rsidRPr="00D945C5" w:rsidRDefault="00E84419" w:rsidP="00F64E26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sectPr w:rsidR="00E84419" w:rsidRPr="00D945C5" w:rsidSect="004374D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C5" w:rsidRDefault="00204FC5" w:rsidP="009C19D4">
      <w:r>
        <w:separator/>
      </w:r>
    </w:p>
  </w:endnote>
  <w:endnote w:type="continuationSeparator" w:id="0">
    <w:p w:rsidR="00204FC5" w:rsidRDefault="00204FC5" w:rsidP="009C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F82959" w:rsidP="009C19D4">
    <w:pPr>
      <w:pStyle w:val="a6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-23.45pt;margin-top:4.65pt;width:160.1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<v:textbox>
            <w:txbxContent>
              <w:p w:rsidR="004F3828" w:rsidRPr="001A267C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Text Box 11" o:spid="_x0000_s4106" type="#_x0000_t202" style="position:absolute;margin-left:426.5pt;margin-top:4.65pt;width:65pt;height:1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<v:textbox>
            <w:txbxContent>
              <w:p w:rsidR="004F3828" w:rsidRPr="001A267C" w:rsidRDefault="004F3828" w:rsidP="009C19D4">
                <w:r w:rsidRPr="001A267C">
                  <w:t xml:space="preserve">PAGE </w:t>
                </w:r>
                <w:r w:rsidR="00F82959" w:rsidRPr="001A267C">
                  <w:fldChar w:fldCharType="begin"/>
                </w:r>
                <w:r w:rsidRPr="001A267C">
                  <w:instrText xml:space="preserve"> PAGE </w:instrText>
                </w:r>
                <w:r w:rsidR="00F82959" w:rsidRPr="001A267C">
                  <w:fldChar w:fldCharType="separate"/>
                </w:r>
                <w:r>
                  <w:rPr>
                    <w:noProof/>
                  </w:rPr>
                  <w:t>4</w:t>
                </w:r>
                <w:r w:rsidR="00F82959" w:rsidRPr="001A267C">
                  <w:fldChar w:fldCharType="end"/>
                </w:r>
                <w:r w:rsidRPr="001A267C">
                  <w:t xml:space="preserve"> OF </w:t>
                </w:r>
                <w:r w:rsidR="00F82959">
                  <w:fldChar w:fldCharType="begin"/>
                </w:r>
                <w:r w:rsidR="006F283A">
                  <w:instrText xml:space="preserve"> NUMPAGES </w:instrText>
                </w:r>
                <w:r w:rsidR="00F82959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F829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4F3828"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699"/>
      <w:docPartObj>
        <w:docPartGallery w:val="Page Numbers (Bottom of Page)"/>
        <w:docPartUnique/>
      </w:docPartObj>
    </w:sdtPr>
    <w:sdtContent>
      <w:p w:rsidR="00D945C5" w:rsidRDefault="00F82959">
        <w:pPr>
          <w:pStyle w:val="a6"/>
          <w:jc w:val="center"/>
        </w:pPr>
        <w:fldSimple w:instr=" PAGE   \* MERGEFORMAT ">
          <w:r w:rsidR="00D57417">
            <w:rPr>
              <w:noProof/>
            </w:rPr>
            <w:t>3</w:t>
          </w:r>
        </w:fldSimple>
      </w:p>
    </w:sdtContent>
  </w:sdt>
  <w:p w:rsidR="00D945C5" w:rsidRDefault="00D945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F82959" w:rsidP="009C19D4">
    <w:pPr>
      <w:pStyle w:val="a6"/>
    </w:pPr>
    <w:r w:rsidRPr="00F82959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486.5pt;margin-top:756.65pt;width:65pt;height:1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F82959">
                  <w:fldChar w:fldCharType="begin"/>
                </w:r>
                <w:r>
                  <w:instrText xml:space="preserve"> PAGE </w:instrText>
                </w:r>
                <w:r w:rsidR="00F82959">
                  <w:fldChar w:fldCharType="separate"/>
                </w:r>
                <w:r>
                  <w:rPr>
                    <w:noProof/>
                  </w:rPr>
                  <w:t>0</w:t>
                </w:r>
                <w:r w:rsidR="00F82959">
                  <w:fldChar w:fldCharType="end"/>
                </w:r>
                <w:r>
                  <w:t xml:space="preserve"> OF </w:t>
                </w:r>
                <w:r w:rsidR="00F82959">
                  <w:fldChar w:fldCharType="begin"/>
                </w:r>
                <w:r w:rsidR="006F283A">
                  <w:instrText xml:space="preserve"> NUMPAGES </w:instrText>
                </w:r>
                <w:r w:rsidR="00F82959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F829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F82959">
      <w:rPr>
        <w:rFonts w:ascii="Times" w:hAnsi="Times"/>
        <w:noProof/>
        <w:lang w:val="ru-RU" w:eastAsia="ru-RU"/>
      </w:rPr>
      <w:pict>
        <v:shape id="_x0000_s4104" type="#_x0000_t202" style="position:absolute;margin-left:36.55pt;margin-top:756.65pt;width:160.1pt;height:1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4103" style="position:absolute;margin-left:29pt;margin-top:756.2pt;width:553.85pt;height:10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F82959">
      <w:rPr>
        <w:rFonts w:ascii="Times" w:hAnsi="Times"/>
        <w:noProof/>
        <w:lang w:val="ru-RU" w:eastAsia="ru-RU"/>
      </w:rPr>
      <w:pict>
        <v:shape id="_x0000_s4102" type="#_x0000_t202" style="position:absolute;margin-left:486.5pt;margin-top:756.65pt;width:65pt;height:1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F82959">
                  <w:fldChar w:fldCharType="begin"/>
                </w:r>
                <w:r>
                  <w:instrText xml:space="preserve"> PAGE </w:instrText>
                </w:r>
                <w:r w:rsidR="00F82959">
                  <w:fldChar w:fldCharType="separate"/>
                </w:r>
                <w:r>
                  <w:rPr>
                    <w:noProof/>
                  </w:rPr>
                  <w:t>0</w:t>
                </w:r>
                <w:r w:rsidR="00F82959">
                  <w:fldChar w:fldCharType="end"/>
                </w:r>
                <w:r>
                  <w:t xml:space="preserve"> OF </w:t>
                </w:r>
                <w:r w:rsidR="00F82959">
                  <w:fldChar w:fldCharType="begin"/>
                </w:r>
                <w:r w:rsidR="006F283A">
                  <w:instrText xml:space="preserve"> NUMPAGES </w:instrText>
                </w:r>
                <w:r w:rsidR="00F82959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F829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F82959">
      <w:rPr>
        <w:rFonts w:ascii="Times" w:hAnsi="Times"/>
        <w:noProof/>
        <w:lang w:val="ru-RU" w:eastAsia="ru-RU"/>
      </w:rPr>
      <w:pict>
        <v:shape id="_x0000_s4101" type="#_x0000_t202" style="position:absolute;margin-left:36.55pt;margin-top:756.65pt;width:160.1pt;height:1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4100" style="position:absolute;margin-left:29pt;margin-top:756.2pt;width:553.85pt;height:10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F82959">
      <w:rPr>
        <w:rFonts w:ascii="Times" w:hAnsi="Times"/>
        <w:noProof/>
        <w:lang w:val="ru-RU" w:eastAsia="ru-RU"/>
      </w:rPr>
      <w:pict>
        <v:shape id="_x0000_s4099" type="#_x0000_t202" style="position:absolute;margin-left:486.5pt;margin-top:756.65pt;width:65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F82959">
                  <w:fldChar w:fldCharType="begin"/>
                </w:r>
                <w:r>
                  <w:instrText xml:space="preserve"> PAGE </w:instrText>
                </w:r>
                <w:r w:rsidR="00F82959">
                  <w:fldChar w:fldCharType="separate"/>
                </w:r>
                <w:r>
                  <w:rPr>
                    <w:noProof/>
                  </w:rPr>
                  <w:t>0</w:t>
                </w:r>
                <w:r w:rsidR="00F82959">
                  <w:fldChar w:fldCharType="end"/>
                </w:r>
                <w:r>
                  <w:t xml:space="preserve"> OF </w:t>
                </w:r>
                <w:r w:rsidR="00F82959">
                  <w:fldChar w:fldCharType="begin"/>
                </w:r>
                <w:r w:rsidR="006F283A">
                  <w:instrText xml:space="preserve"> NUMPAGES </w:instrText>
                </w:r>
                <w:r w:rsidR="00F82959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F829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F82959">
      <w:rPr>
        <w:rFonts w:ascii="Times" w:hAnsi="Times"/>
        <w:noProof/>
        <w:lang w:val="ru-RU" w:eastAsia="ru-RU"/>
      </w:rPr>
      <w:pict>
        <v:shape id="_x0000_s4098" type="#_x0000_t202" style="position:absolute;margin-left:36.55pt;margin-top:756.65pt;width:160.1pt;height:1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4097" style="position:absolute;margin-left:29pt;margin-top:756.2pt;width:553.85pt;height:10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C5" w:rsidRDefault="00204FC5" w:rsidP="009C19D4">
      <w:r>
        <w:separator/>
      </w:r>
    </w:p>
  </w:footnote>
  <w:footnote w:type="continuationSeparator" w:id="0">
    <w:p w:rsidR="00204FC5" w:rsidRDefault="00204FC5" w:rsidP="009C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F82959" w:rsidP="009C19D4">
    <w:pPr>
      <w:pStyle w:val="a4"/>
    </w:pPr>
    <w:r w:rsidRPr="00F82959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0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F82959">
                  <w:fldChar w:fldCharType="begin"/>
                </w:r>
                <w:r>
                  <w:instrText xml:space="preserve"> PAGE </w:instrText>
                </w:r>
                <w:r w:rsidR="00F82959">
                  <w:fldChar w:fldCharType="separate"/>
                </w:r>
                <w:r>
                  <w:rPr>
                    <w:noProof/>
                  </w:rPr>
                  <w:t>4</w:t>
                </w:r>
                <w:r w:rsidR="00F82959">
                  <w:fldChar w:fldCharType="end"/>
                </w:r>
                <w:r>
                  <w:t xml:space="preserve"> OF </w:t>
                </w:r>
                <w:r w:rsidR="00F82959">
                  <w:fldChar w:fldCharType="begin"/>
                </w:r>
                <w:r w:rsidR="006F283A">
                  <w:instrText xml:space="preserve"> NUMPAGES </w:instrText>
                </w:r>
                <w:r w:rsidR="00F82959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F829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F82959">
      <w:rPr>
        <w:rFonts w:ascii="Times" w:hAnsi="Times"/>
        <w:noProof/>
        <w:lang w:val="ru-RU" w:eastAsia="ru-RU"/>
      </w:rPr>
      <w:pict>
        <v:shape id="Text Box 4" o:spid="_x0000_s4109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Picture 1" o:spid="_x0000_s4108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2D" w:rsidRPr="00ED6734" w:rsidRDefault="004F382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E2D" w:rsidRPr="00ED6734">
      <w:rPr>
        <w:b w:val="0"/>
        <w:caps/>
        <w:color w:val="084332"/>
        <w:spacing w:val="20"/>
      </w:rPr>
      <w:t xml:space="preserve">                                                                  </w:t>
    </w:r>
    <w:r w:rsidR="00ED6734" w:rsidRPr="00ED6734">
      <w:rPr>
        <w:b w:val="0"/>
        <w:caps/>
        <w:color w:val="084332"/>
        <w:spacing w:val="20"/>
      </w:rPr>
      <w:t xml:space="preserve">           </w:t>
    </w:r>
    <w:r w:rsidR="00644288" w:rsidRPr="00ED6734">
      <w:rPr>
        <w:b w:val="0"/>
        <w:caps/>
        <w:color w:val="084332"/>
        <w:spacing w:val="20"/>
      </w:rPr>
      <w:t xml:space="preserve">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>
      <w:rPr>
        <w:b w:val="0"/>
        <w:caps/>
        <w:color w:val="084332"/>
        <w:spacing w:val="20"/>
      </w:rPr>
      <w:t xml:space="preserve">          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="00ED6734"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:rsidR="00C97E2D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F7A"/>
    <w:multiLevelType w:val="hybridMultilevel"/>
    <w:tmpl w:val="978C59C6"/>
    <w:lvl w:ilvl="0" w:tplc="9E46689C">
      <w:start w:val="1"/>
      <w:numFmt w:val="bullet"/>
      <w:lvlText w:val="-"/>
      <w:lvlJc w:val="left"/>
      <w:pPr>
        <w:ind w:left="6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1E9D1E95"/>
    <w:multiLevelType w:val="hybridMultilevel"/>
    <w:tmpl w:val="D630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1741C"/>
    <w:multiLevelType w:val="hybridMultilevel"/>
    <w:tmpl w:val="1804BC20"/>
    <w:lvl w:ilvl="0" w:tplc="B40816F4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8F2A01"/>
    <w:multiLevelType w:val="hybridMultilevel"/>
    <w:tmpl w:val="29D06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54E0"/>
    <w:multiLevelType w:val="hybridMultilevel"/>
    <w:tmpl w:val="B11891E4"/>
    <w:lvl w:ilvl="0" w:tplc="6A8C0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A08A6"/>
    <w:multiLevelType w:val="hybridMultilevel"/>
    <w:tmpl w:val="E802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D2EDE"/>
    <w:multiLevelType w:val="hybridMultilevel"/>
    <w:tmpl w:val="73D63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E2D"/>
    <w:rsid w:val="0001102D"/>
    <w:rsid w:val="00056C53"/>
    <w:rsid w:val="00056D1E"/>
    <w:rsid w:val="0005719F"/>
    <w:rsid w:val="00072D81"/>
    <w:rsid w:val="0008560D"/>
    <w:rsid w:val="000E45AF"/>
    <w:rsid w:val="000F5F50"/>
    <w:rsid w:val="0010005A"/>
    <w:rsid w:val="00143433"/>
    <w:rsid w:val="001541E0"/>
    <w:rsid w:val="00174135"/>
    <w:rsid w:val="001748FB"/>
    <w:rsid w:val="00193642"/>
    <w:rsid w:val="001A267C"/>
    <w:rsid w:val="001B2178"/>
    <w:rsid w:val="001C5316"/>
    <w:rsid w:val="00202901"/>
    <w:rsid w:val="00204FC5"/>
    <w:rsid w:val="00205614"/>
    <w:rsid w:val="00221CBF"/>
    <w:rsid w:val="0022567A"/>
    <w:rsid w:val="002270E3"/>
    <w:rsid w:val="002B49E8"/>
    <w:rsid w:val="002B5729"/>
    <w:rsid w:val="002D5883"/>
    <w:rsid w:val="00396C53"/>
    <w:rsid w:val="003D223D"/>
    <w:rsid w:val="003E7B87"/>
    <w:rsid w:val="004374DB"/>
    <w:rsid w:val="00454C8B"/>
    <w:rsid w:val="00475168"/>
    <w:rsid w:val="0048054C"/>
    <w:rsid w:val="004D44C5"/>
    <w:rsid w:val="004E3F7C"/>
    <w:rsid w:val="004E651C"/>
    <w:rsid w:val="004F3828"/>
    <w:rsid w:val="0053294D"/>
    <w:rsid w:val="00586F8C"/>
    <w:rsid w:val="00596BD2"/>
    <w:rsid w:val="005B363D"/>
    <w:rsid w:val="005B7A7E"/>
    <w:rsid w:val="005C71E7"/>
    <w:rsid w:val="005D077E"/>
    <w:rsid w:val="005F3E76"/>
    <w:rsid w:val="00611B90"/>
    <w:rsid w:val="00644288"/>
    <w:rsid w:val="006F283A"/>
    <w:rsid w:val="007018FF"/>
    <w:rsid w:val="007025E7"/>
    <w:rsid w:val="0070506B"/>
    <w:rsid w:val="007129E9"/>
    <w:rsid w:val="00725774"/>
    <w:rsid w:val="00737829"/>
    <w:rsid w:val="00751380"/>
    <w:rsid w:val="00772666"/>
    <w:rsid w:val="00773178"/>
    <w:rsid w:val="007818A8"/>
    <w:rsid w:val="00784898"/>
    <w:rsid w:val="00787C74"/>
    <w:rsid w:val="00794747"/>
    <w:rsid w:val="007B2D82"/>
    <w:rsid w:val="007B2FF1"/>
    <w:rsid w:val="007B31BA"/>
    <w:rsid w:val="007D3F47"/>
    <w:rsid w:val="00832DB8"/>
    <w:rsid w:val="008501B5"/>
    <w:rsid w:val="008674EF"/>
    <w:rsid w:val="008B0C21"/>
    <w:rsid w:val="008F0E8C"/>
    <w:rsid w:val="008F25FB"/>
    <w:rsid w:val="008F5D02"/>
    <w:rsid w:val="009034B4"/>
    <w:rsid w:val="0094510E"/>
    <w:rsid w:val="009635A9"/>
    <w:rsid w:val="009C189D"/>
    <w:rsid w:val="009C19D4"/>
    <w:rsid w:val="009C36BF"/>
    <w:rsid w:val="009C7FA7"/>
    <w:rsid w:val="009E0617"/>
    <w:rsid w:val="009E6E84"/>
    <w:rsid w:val="009F2F97"/>
    <w:rsid w:val="00A000C7"/>
    <w:rsid w:val="00A06109"/>
    <w:rsid w:val="00A37896"/>
    <w:rsid w:val="00A41738"/>
    <w:rsid w:val="00A7756E"/>
    <w:rsid w:val="00A974F8"/>
    <w:rsid w:val="00AF00A8"/>
    <w:rsid w:val="00B66186"/>
    <w:rsid w:val="00B67418"/>
    <w:rsid w:val="00B80B1F"/>
    <w:rsid w:val="00B81D8D"/>
    <w:rsid w:val="00B86306"/>
    <w:rsid w:val="00BA3896"/>
    <w:rsid w:val="00BA3C19"/>
    <w:rsid w:val="00BB60F9"/>
    <w:rsid w:val="00BF685E"/>
    <w:rsid w:val="00C01481"/>
    <w:rsid w:val="00C40430"/>
    <w:rsid w:val="00C53582"/>
    <w:rsid w:val="00C61775"/>
    <w:rsid w:val="00C62391"/>
    <w:rsid w:val="00C72AED"/>
    <w:rsid w:val="00C8318D"/>
    <w:rsid w:val="00C84C52"/>
    <w:rsid w:val="00C9470C"/>
    <w:rsid w:val="00C97E2D"/>
    <w:rsid w:val="00CE4962"/>
    <w:rsid w:val="00D14158"/>
    <w:rsid w:val="00D31FE4"/>
    <w:rsid w:val="00D4559D"/>
    <w:rsid w:val="00D50176"/>
    <w:rsid w:val="00D57417"/>
    <w:rsid w:val="00D945C5"/>
    <w:rsid w:val="00DA575E"/>
    <w:rsid w:val="00DB5566"/>
    <w:rsid w:val="00DB6C78"/>
    <w:rsid w:val="00DD2365"/>
    <w:rsid w:val="00E075A6"/>
    <w:rsid w:val="00E346AC"/>
    <w:rsid w:val="00E72BBD"/>
    <w:rsid w:val="00E84419"/>
    <w:rsid w:val="00E93DFB"/>
    <w:rsid w:val="00E9657B"/>
    <w:rsid w:val="00EA6B0C"/>
    <w:rsid w:val="00EC48E9"/>
    <w:rsid w:val="00EC6F9C"/>
    <w:rsid w:val="00ED6734"/>
    <w:rsid w:val="00F119BB"/>
    <w:rsid w:val="00F155EC"/>
    <w:rsid w:val="00F24AF5"/>
    <w:rsid w:val="00F5673F"/>
    <w:rsid w:val="00F56B54"/>
    <w:rsid w:val="00F64E26"/>
    <w:rsid w:val="00F82959"/>
    <w:rsid w:val="00F85A5F"/>
    <w:rsid w:val="00F976AC"/>
    <w:rsid w:val="00F97959"/>
    <w:rsid w:val="00FB7C18"/>
    <w:rsid w:val="00FC3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Название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99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0"/>
    <w:rsid w:val="009C36BF"/>
    <w:pPr>
      <w:overflowPunct w:val="0"/>
      <w:autoSpaceDE w:val="0"/>
      <w:autoSpaceDN w:val="0"/>
      <w:adjustRightInd w:val="0"/>
      <w:spacing w:after="0" w:afterAutospacing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1442B-CCB4-4BBB-8F90-5F9A39A1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9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FCGC-DP</cp:lastModifiedBy>
  <cp:revision>7</cp:revision>
  <cp:lastPrinted>2015-03-26T20:27:00Z</cp:lastPrinted>
  <dcterms:created xsi:type="dcterms:W3CDTF">2016-12-09T08:14:00Z</dcterms:created>
  <dcterms:modified xsi:type="dcterms:W3CDTF">2017-01-20T11:19:00Z</dcterms:modified>
</cp:coreProperties>
</file>