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A" w:rsidRPr="00B75444" w:rsidRDefault="00B75444" w:rsidP="00B75444">
      <w:pPr>
        <w:spacing w:after="0" w:afterAutospacing="0" w:line="240" w:lineRule="auto"/>
        <w:jc w:val="center"/>
        <w:rPr>
          <w:rFonts w:ascii="Calibri" w:hAnsi="Calibri" w:cs="Calibri"/>
          <w:sz w:val="22"/>
          <w:szCs w:val="22"/>
          <w:lang w:val="ro-RO"/>
        </w:rPr>
      </w:pPr>
      <w:r w:rsidRPr="00B75444">
        <w:rPr>
          <w:rFonts w:ascii="Calibri" w:hAnsi="Calibri" w:cs="Calibri"/>
          <w:sz w:val="22"/>
          <w:szCs w:val="22"/>
          <w:lang w:val="ro-RO"/>
        </w:rPr>
        <w:t>MD-20</w:t>
      </w:r>
      <w:r w:rsidR="00BC1178">
        <w:rPr>
          <w:rFonts w:ascii="Calibri" w:hAnsi="Calibri" w:cs="Calibri"/>
          <w:sz w:val="22"/>
          <w:szCs w:val="22"/>
          <w:lang w:val="ro-RO"/>
        </w:rPr>
        <w:t>60</w:t>
      </w:r>
      <w:r w:rsidRPr="00B75444">
        <w:rPr>
          <w:rFonts w:ascii="Calibri" w:hAnsi="Calibri" w:cs="Calibri"/>
          <w:sz w:val="22"/>
          <w:szCs w:val="22"/>
          <w:lang w:val="ro-RO"/>
        </w:rPr>
        <w:t>, CHIŞINĂU, bd. DACIA  41, tel:  0 22 77-39-96</w:t>
      </w:r>
      <w:r w:rsidR="00FD448A" w:rsidRPr="00B75444">
        <w:rPr>
          <w:rFonts w:ascii="Calibri" w:hAnsi="Calibri" w:cs="Calibri"/>
          <w:sz w:val="22"/>
          <w:szCs w:val="22"/>
          <w:lang w:val="ro-RO"/>
        </w:rPr>
        <w:t xml:space="preserve">, </w:t>
      </w:r>
      <w:hyperlink r:id="rId7" w:history="1">
        <w:r w:rsidR="00FD448A" w:rsidRPr="00B75444">
          <w:rPr>
            <w:rStyle w:val="a4"/>
            <w:rFonts w:ascii="Calibri" w:hAnsi="Calibri" w:cs="Calibri"/>
            <w:sz w:val="22"/>
            <w:szCs w:val="22"/>
            <w:lang w:val="ro-RO"/>
          </w:rPr>
          <w:t>www.utm.md</w:t>
        </w:r>
      </w:hyperlink>
    </w:p>
    <w:p w:rsidR="00FD448A" w:rsidRPr="00B75444" w:rsidRDefault="00FD448A" w:rsidP="00B75444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p w:rsidR="00FD448A" w:rsidRPr="00B75444" w:rsidRDefault="00F57D36" w:rsidP="00B75444">
      <w:pPr>
        <w:spacing w:after="0" w:afterAutospacing="0" w:line="240" w:lineRule="auto"/>
        <w:jc w:val="center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ETICA PROFESIONALĂ ȘI BAZELE COMUNICĂRII</w:t>
      </w: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560"/>
        <w:gridCol w:w="1276"/>
        <w:gridCol w:w="1559"/>
        <w:gridCol w:w="1560"/>
        <w:gridCol w:w="992"/>
      </w:tblGrid>
      <w:tr w:rsidR="00FD448A" w:rsidRPr="00B75444" w:rsidTr="00B75444">
        <w:tc>
          <w:tcPr>
            <w:tcW w:w="283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6947" w:type="dxa"/>
            <w:gridSpan w:val="5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Cadastru, Geodezie și Construcții</w:t>
            </w:r>
          </w:p>
        </w:tc>
      </w:tr>
      <w:tr w:rsidR="00FD448A" w:rsidRPr="00B75444" w:rsidTr="00B75444">
        <w:tc>
          <w:tcPr>
            <w:tcW w:w="283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6947" w:type="dxa"/>
            <w:gridSpan w:val="5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Drept Patrimonial</w:t>
            </w:r>
          </w:p>
        </w:tc>
      </w:tr>
      <w:tr w:rsidR="00FD448A" w:rsidRPr="00B75444" w:rsidTr="00B75444">
        <w:tc>
          <w:tcPr>
            <w:tcW w:w="283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6947" w:type="dxa"/>
            <w:gridSpan w:val="5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Studii superioare de 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licență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, ciclul I</w:t>
            </w:r>
          </w:p>
        </w:tc>
      </w:tr>
      <w:tr w:rsidR="00FD448A" w:rsidRPr="00B75444" w:rsidTr="00B75444">
        <w:trPr>
          <w:trHeight w:val="179"/>
        </w:trPr>
        <w:tc>
          <w:tcPr>
            <w:tcW w:w="283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6947" w:type="dxa"/>
            <w:gridSpan w:val="5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  <w:r w:rsidR="00B75444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8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1.1 Drept</w:t>
            </w:r>
          </w:p>
        </w:tc>
      </w:tr>
      <w:tr w:rsidR="00FD448A" w:rsidRPr="00B75444" w:rsidTr="00B75444">
        <w:tc>
          <w:tcPr>
            <w:tcW w:w="283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560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27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FD448A" w:rsidRPr="00B75444" w:rsidRDefault="002D0B98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de opționalitate</w:t>
            </w:r>
          </w:p>
        </w:tc>
        <w:tc>
          <w:tcPr>
            <w:tcW w:w="992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FD448A" w:rsidRPr="00B75444" w:rsidTr="00B75444">
        <w:trPr>
          <w:trHeight w:val="610"/>
        </w:trPr>
        <w:tc>
          <w:tcPr>
            <w:tcW w:w="2836" w:type="dxa"/>
          </w:tcPr>
          <w:p w:rsidR="00FD448A" w:rsidRPr="00B75444" w:rsidRDefault="00E43E7E" w:rsidP="00B75444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</w:t>
            </w:r>
            <w:r w:rsidR="00250469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II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(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învățământ cu 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frecvență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);</w:t>
            </w:r>
          </w:p>
        </w:tc>
        <w:tc>
          <w:tcPr>
            <w:tcW w:w="1560" w:type="dxa"/>
            <w:vAlign w:val="center"/>
          </w:tcPr>
          <w:p w:rsidR="00FD448A" w:rsidRPr="00B75444" w:rsidRDefault="00250469" w:rsidP="00B75444">
            <w:pPr>
              <w:tabs>
                <w:tab w:val="left" w:pos="709"/>
                <w:tab w:val="left" w:pos="993"/>
              </w:tabs>
              <w:spacing w:after="0" w:afterAutospacing="0" w:line="240" w:lineRule="auto"/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eastAsia="MS Mincho" w:hAnsi="Calibri" w:cs="Calibri"/>
                <w:color w:val="000000"/>
                <w:sz w:val="22"/>
                <w:szCs w:val="22"/>
                <w:lang w:val="ro-RO"/>
              </w:rPr>
              <w:t>VI</w:t>
            </w:r>
          </w:p>
        </w:tc>
        <w:tc>
          <w:tcPr>
            <w:tcW w:w="1276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FD448A" w:rsidRPr="00B75444" w:rsidRDefault="003351A1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U – unitate de curs de orientare socio-umanistică</w:t>
            </w:r>
          </w:p>
        </w:tc>
        <w:tc>
          <w:tcPr>
            <w:tcW w:w="1560" w:type="dxa"/>
            <w:vMerge w:val="restart"/>
            <w:vAlign w:val="center"/>
          </w:tcPr>
          <w:p w:rsidR="00FD448A" w:rsidRPr="00B75444" w:rsidRDefault="00250469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 unitate de curs o</w:t>
            </w:r>
            <w:r w:rsidR="00B81F80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bligatorie</w:t>
            </w:r>
          </w:p>
        </w:tc>
        <w:tc>
          <w:tcPr>
            <w:tcW w:w="992" w:type="dxa"/>
            <w:vMerge w:val="restart"/>
            <w:vAlign w:val="center"/>
          </w:tcPr>
          <w:p w:rsidR="00FD448A" w:rsidRPr="00B75444" w:rsidRDefault="00250469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FD448A" w:rsidRPr="00B75444" w:rsidTr="00B75444">
        <w:tc>
          <w:tcPr>
            <w:tcW w:w="2836" w:type="dxa"/>
          </w:tcPr>
          <w:p w:rsidR="00FD448A" w:rsidRPr="00B75444" w:rsidRDefault="00E43E7E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</w:t>
            </w:r>
            <w:r w:rsidR="00942432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V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(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învățământ cu 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frecvență redusă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560" w:type="dxa"/>
            <w:vAlign w:val="center"/>
          </w:tcPr>
          <w:p w:rsidR="00FD448A" w:rsidRPr="00B75444" w:rsidRDefault="00942432" w:rsidP="00B75444">
            <w:pPr>
              <w:tabs>
                <w:tab w:val="left" w:pos="709"/>
                <w:tab w:val="left" w:pos="993"/>
              </w:tabs>
              <w:spacing w:after="0" w:afterAutospacing="0" w:line="240" w:lineRule="auto"/>
              <w:jc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eastAsia="MS Mincho" w:hAnsi="Calibri" w:cs="Calibri"/>
                <w:color w:val="000000"/>
                <w:sz w:val="22"/>
                <w:szCs w:val="22"/>
                <w:lang w:val="ro-RO"/>
              </w:rPr>
              <w:t>VII</w:t>
            </w:r>
          </w:p>
        </w:tc>
        <w:tc>
          <w:tcPr>
            <w:tcW w:w="1276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E, LV</w:t>
            </w:r>
          </w:p>
        </w:tc>
        <w:tc>
          <w:tcPr>
            <w:tcW w:w="1559" w:type="dxa"/>
            <w:vMerge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Merge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36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Timpul total estimat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672"/>
        <w:gridCol w:w="1780"/>
        <w:gridCol w:w="1255"/>
        <w:gridCol w:w="2193"/>
        <w:gridCol w:w="2080"/>
      </w:tblGrid>
      <w:tr w:rsidR="00FD448A" w:rsidRPr="00B75444" w:rsidTr="00B75444">
        <w:tc>
          <w:tcPr>
            <w:tcW w:w="1801" w:type="dxa"/>
            <w:vMerge w:val="restart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Total ore 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planul de 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învățământ</w:t>
            </w:r>
          </w:p>
        </w:tc>
        <w:tc>
          <w:tcPr>
            <w:tcW w:w="7980" w:type="dxa"/>
            <w:gridSpan w:val="5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FD448A" w:rsidRPr="00B75444" w:rsidTr="00B75444">
        <w:tc>
          <w:tcPr>
            <w:tcW w:w="0" w:type="auto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528" w:type="dxa"/>
            <w:gridSpan w:val="3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FD448A" w:rsidRPr="00B75444" w:rsidTr="00B75444">
        <w:tc>
          <w:tcPr>
            <w:tcW w:w="0" w:type="auto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780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Laborator/</w:t>
            </w:r>
            <w:r w:rsidR="00B75444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seminar</w:t>
            </w:r>
          </w:p>
        </w:tc>
        <w:tc>
          <w:tcPr>
            <w:tcW w:w="1255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080" w:type="dxa"/>
            <w:vAlign w:val="center"/>
          </w:tcPr>
          <w:p w:rsidR="00FD448A" w:rsidRPr="00B75444" w:rsidRDefault="00BE1AC1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Pregătire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aplicații</w:t>
            </w:r>
          </w:p>
        </w:tc>
      </w:tr>
      <w:tr w:rsidR="00FD448A" w:rsidRPr="00B75444" w:rsidTr="00B75444">
        <w:tc>
          <w:tcPr>
            <w:tcW w:w="1801" w:type="dxa"/>
          </w:tcPr>
          <w:p w:rsidR="00FD448A" w:rsidRPr="00B75444" w:rsidRDefault="00FB390D" w:rsidP="00FB390D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zi 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     </w:t>
            </w:r>
            <w:r w:rsidR="00250469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672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780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255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080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</w:tr>
      <w:tr w:rsidR="00FD448A" w:rsidRPr="00B75444" w:rsidTr="00B75444">
        <w:tc>
          <w:tcPr>
            <w:tcW w:w="1801" w:type="dxa"/>
          </w:tcPr>
          <w:p w:rsidR="00FD448A" w:rsidRPr="00B75444" w:rsidRDefault="00FB390D" w:rsidP="00FB390D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f/r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   </w:t>
            </w:r>
            <w:r w:rsidR="00942432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672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780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255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6</w:t>
            </w:r>
            <w:r w:rsidR="00B75444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2080" w:type="dxa"/>
          </w:tcPr>
          <w:p w:rsidR="00FD448A" w:rsidRPr="00B75444" w:rsidRDefault="0094243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40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Precondiții de acces la unitatea de curs/modul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662"/>
      </w:tblGrid>
      <w:tr w:rsidR="00FD448A" w:rsidRPr="00B75444" w:rsidTr="00B75444">
        <w:tc>
          <w:tcPr>
            <w:tcW w:w="3119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Conform planului de </w:t>
            </w:r>
            <w:r w:rsidR="00BE1AC1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învățământ</w:t>
            </w:r>
          </w:p>
        </w:tc>
        <w:tc>
          <w:tcPr>
            <w:tcW w:w="6662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eastAsia="MS Mincho" w:hAnsi="Calibri" w:cs="Calibri"/>
                <w:iCs/>
                <w:sz w:val="22"/>
                <w:szCs w:val="22"/>
                <w:lang w:val="ro-RO"/>
              </w:rPr>
              <w:t>Teoria generală a dreptului,</w:t>
            </w:r>
            <w:r w:rsidR="008432F2" w:rsidRPr="00B75444">
              <w:rPr>
                <w:rFonts w:ascii="Calibri" w:eastAsia="MS Mincho" w:hAnsi="Calibri" w:cs="Calibri"/>
                <w:iCs/>
                <w:sz w:val="22"/>
                <w:szCs w:val="22"/>
                <w:lang w:val="ro-RO"/>
              </w:rPr>
              <w:t xml:space="preserve"> Dreptul muncii, Contenciosul administrativ, Dreptul Penal</w:t>
            </w:r>
          </w:p>
        </w:tc>
      </w:tr>
      <w:tr w:rsidR="00FD448A" w:rsidRPr="00B75444" w:rsidTr="00B75444">
        <w:tc>
          <w:tcPr>
            <w:tcW w:w="3119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Conform competențelor</w:t>
            </w:r>
          </w:p>
        </w:tc>
        <w:tc>
          <w:tcPr>
            <w:tcW w:w="6662" w:type="dxa"/>
          </w:tcPr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posede cunoştinţe teoretice şi să definească conceptele de bază ale comunicării.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cunoască nivelurile comunicării.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Să identifice comunicarea </w:t>
            </w:r>
            <w:r w:rsidR="007C2731" w:rsidRPr="00B75444">
              <w:rPr>
                <w:rFonts w:ascii="Calibri" w:hAnsi="Calibri" w:cs="Calibri"/>
                <w:sz w:val="22"/>
                <w:szCs w:val="22"/>
                <w:lang w:val="ro-RO"/>
              </w:rPr>
              <w:t>orală, nonverbală precum și comunicarea în scris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determine cerinţele înaintate pentru întocmirea corectă a unui text oficial.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analizeze tipurile de texte oficiale.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determine obiectul, funcţiile şi problematica eticii juridice.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identifice care sunt categoriile eticii.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interpreteze concepţiile etice ale îndrumătorilor omenirii, ale filosofilor.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analizeze etica judiciară ca tip al eticii profesionale.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determine importanța eticii profesionale a colaboratorului de drept.</w:t>
            </w:r>
          </w:p>
          <w:p w:rsidR="007C2731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cunoască calităţi</w:t>
            </w:r>
            <w:r w:rsidR="007C2731"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le morale şi cerinţele faţă de colaboratorii 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organelor de drept precum ar fi</w:t>
            </w:r>
            <w:r w:rsidR="007C2731" w:rsidRPr="00B75444">
              <w:rPr>
                <w:rFonts w:ascii="Calibri" w:hAnsi="Calibri" w:cs="Calibri"/>
                <w:sz w:val="22"/>
                <w:szCs w:val="22"/>
                <w:lang w:val="ro-RO"/>
              </w:rPr>
              <w:t>: anchetatorul;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7C2731" w:rsidRPr="00B75444">
              <w:rPr>
                <w:rFonts w:ascii="Calibri" w:hAnsi="Calibri" w:cs="Calibri"/>
                <w:sz w:val="22"/>
                <w:szCs w:val="22"/>
                <w:lang w:val="ro-RO"/>
              </w:rPr>
              <w:t>procurorul și avocatul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FD448A" w:rsidRPr="00B75444" w:rsidRDefault="00B75444" w:rsidP="00B75444">
            <w:pPr>
              <w:pStyle w:val="a"/>
              <w:numPr>
                <w:ilvl w:val="0"/>
                <w:numId w:val="3"/>
              </w:numPr>
              <w:spacing w:after="0" w:afterAutospacing="0" w:line="240" w:lineRule="auto"/>
              <w:ind w:left="459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analizeze argumentele etice referitoare la problemele primordiale ale eticii judiciare.</w:t>
            </w:r>
          </w:p>
        </w:tc>
      </w:tr>
    </w:tbl>
    <w:p w:rsidR="00FD448A" w:rsidRPr="00B75444" w:rsidRDefault="00FD448A" w:rsidP="00B75444">
      <w:pPr>
        <w:pStyle w:val="a8"/>
        <w:numPr>
          <w:ilvl w:val="0"/>
          <w:numId w:val="2"/>
        </w:numPr>
        <w:spacing w:after="0" w:afterAutospacing="0" w:line="240" w:lineRule="auto"/>
        <w:jc w:val="left"/>
        <w:rPr>
          <w:rFonts w:ascii="Calibri" w:hAnsi="Calibri" w:cs="Calibri"/>
          <w:b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sz w:val="22"/>
          <w:szCs w:val="22"/>
          <w:lang w:val="ro-RO"/>
        </w:rPr>
        <w:t>Condiții de desf</w:t>
      </w:r>
      <w:r w:rsidR="00F74A8D" w:rsidRPr="00B75444">
        <w:rPr>
          <w:rFonts w:ascii="Calibri" w:hAnsi="Calibri" w:cs="Calibri"/>
          <w:b/>
          <w:sz w:val="22"/>
          <w:szCs w:val="22"/>
          <w:lang w:val="ro-RO"/>
        </w:rPr>
        <w:t>ă</w:t>
      </w:r>
      <w:r w:rsidRPr="00B75444">
        <w:rPr>
          <w:rFonts w:ascii="Calibri" w:hAnsi="Calibri" w:cs="Calibri"/>
          <w:b/>
          <w:sz w:val="22"/>
          <w:szCs w:val="22"/>
          <w:lang w:val="ro-RO"/>
        </w:rPr>
        <w:t xml:space="preserve">șurare a procesului educațional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7882"/>
      </w:tblGrid>
      <w:tr w:rsidR="00FD448A" w:rsidRPr="00B75444" w:rsidTr="00B75444">
        <w:tc>
          <w:tcPr>
            <w:tcW w:w="1899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7882" w:type="dxa"/>
          </w:tcPr>
          <w:p w:rsidR="00FD448A" w:rsidRPr="00B75444" w:rsidRDefault="00E4536F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Prelegeri interactive, seminare tematice, demonstrația, conversația, punerea în discuție a celor mai stringente probleme teoretice, mese rotunde, dezbateri, analiza 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comparativă, simularea proceselor de judecată.</w:t>
            </w:r>
          </w:p>
        </w:tc>
      </w:tr>
      <w:tr w:rsidR="00FD448A" w:rsidRPr="00B75444" w:rsidTr="00B75444">
        <w:tc>
          <w:tcPr>
            <w:tcW w:w="1899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Laborator/seminar</w:t>
            </w:r>
          </w:p>
        </w:tc>
        <w:tc>
          <w:tcPr>
            <w:tcW w:w="7882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Seminare tematice, </w:t>
            </w:r>
            <w:r w:rsidR="00E4536F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evaluarea periodică în cadrul seminarelor, teste, elaborarea articolelor științifice.</w:t>
            </w:r>
            <w:bookmarkStart w:id="0" w:name="_GoBack"/>
            <w:bookmarkEnd w:id="0"/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pStyle w:val="a"/>
        <w:numPr>
          <w:ilvl w:val="0"/>
          <w:numId w:val="2"/>
        </w:numPr>
        <w:spacing w:after="0" w:afterAutospacing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Competențe specifice acumulate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7839"/>
      </w:tblGrid>
      <w:tr w:rsidR="00FD448A" w:rsidRPr="00B75444" w:rsidTr="00B75444">
        <w:tc>
          <w:tcPr>
            <w:tcW w:w="1942" w:type="dxa"/>
          </w:tcPr>
          <w:p w:rsidR="00FD448A" w:rsidRPr="00B75444" w:rsidRDefault="00FD448A" w:rsidP="00B75444">
            <w:pPr>
              <w:widowControl w:val="0"/>
              <w:spacing w:after="0" w:afterAutospacing="0" w:line="240" w:lineRule="auto"/>
              <w:ind w:left="100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Competențe profesionale</w:t>
            </w:r>
          </w:p>
        </w:tc>
        <w:tc>
          <w:tcPr>
            <w:tcW w:w="7839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CP1.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Utilizarea adecvată a conceptelor, teoriilor, paradigmelor şi metodologiilor din domeniul juridic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Descrierea conceptelor, teoriilor, paradigmelor şi metodologiilor utilizate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domeniul juridic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Utilizarea limbajului juridic de specialitate pentru explicarea şi interpretarea conceptelor şi teoriilor specifice domeniului dreptului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Utilizarea limbajului juridic de specialitate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elaborarea unor argumentări specifice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Utilizarea limbajului juridic de specialitate pentru evaluarea conceptelor, teoriilor şi metodelor consacrate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domeniul juridic.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afterAutospacing="0" w:line="240" w:lineRule="auto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Folosirea limbajului juridic de specialitate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elaborarea proiectelor profesionale.</w:t>
            </w:r>
          </w:p>
        </w:tc>
      </w:tr>
      <w:tr w:rsidR="00FD448A" w:rsidRPr="00B75444" w:rsidTr="00B75444">
        <w:tc>
          <w:tcPr>
            <w:tcW w:w="1942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Competențe transversale</w:t>
            </w:r>
          </w:p>
        </w:tc>
        <w:tc>
          <w:tcPr>
            <w:tcW w:w="7839" w:type="dxa"/>
          </w:tcPr>
          <w:p w:rsidR="00FD448A" w:rsidRPr="00B75444" w:rsidRDefault="00FD448A" w:rsidP="00B75444">
            <w:pPr>
              <w:widowControl w:val="0"/>
              <w:spacing w:after="0" w:afterAutospacing="0" w:line="240" w:lineRule="auto"/>
              <w:ind w:left="502" w:hanging="50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CT1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. Realizarea sarcinilor profesionale </w:t>
            </w:r>
            <w:r w:rsidR="00BE1AC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mod eficient și responsabil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, cu respectarea regulilor deon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tologice specifice domeniului</w:t>
            </w:r>
            <w:r w:rsidR="00B75444" w:rsidRPr="00B75444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widowControl w:val="0"/>
              <w:spacing w:after="0" w:afterAutospacing="0" w:line="240" w:lineRule="auto"/>
              <w:ind w:left="502" w:hanging="50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CT2.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Aplicarea tehnicilor de munc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ă eficientă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r w:rsidR="00BE1AC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echipă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(cu elemente de interdisciplinaritate), cu respectarea palierelor ierarhice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widowControl w:val="0"/>
              <w:spacing w:after="0" w:afterAutospacing="0" w:line="240" w:lineRule="auto"/>
              <w:ind w:left="502" w:hanging="50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CT3.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Utilizarea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eficientă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a resurselor de comunicare și a surselor de informare și de formare </w:t>
            </w:r>
            <w:r w:rsidR="00A00DF7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profesională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asistat</w:t>
            </w:r>
            <w:r w:rsidR="00A00DF7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</w:t>
            </w:r>
            <w:r w:rsidR="00A00DF7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atât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r w:rsidR="00BE1AC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limba </w:t>
            </w:r>
            <w:r w:rsidR="00A00DF7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română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</w:t>
            </w:r>
            <w:r w:rsidR="00495ACE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cât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și </w:t>
            </w:r>
            <w:r w:rsidR="00BE1AC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în</w:t>
            </w:r>
            <w:r w:rsidR="00A00DF7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tr-o limbă străină</w:t>
            </w:r>
            <w:r w:rsidR="00B75444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Obiectivele unit</w:t>
      </w:r>
      <w:r w:rsidR="00B75444"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ă</w:t>
      </w: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ții de curs/modulului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654"/>
      </w:tblGrid>
      <w:tr w:rsidR="00FD448A" w:rsidRPr="00B75444" w:rsidTr="00B75444">
        <w:tc>
          <w:tcPr>
            <w:tcW w:w="2127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654" w:type="dxa"/>
          </w:tcPr>
          <w:p w:rsidR="00FD448A" w:rsidRPr="00B75444" w:rsidRDefault="007C2731" w:rsidP="00B75444">
            <w:pPr>
              <w:tabs>
                <w:tab w:val="left" w:pos="709"/>
                <w:tab w:val="left" w:pos="993"/>
              </w:tabs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Formarea în viitorii specialişti a unei baze lingvistice corecte,  precum şi de a  cristaliza la jurişti o ţinută morală care să fie în conformitate cu cerinţele societăţii democratice contemporane.</w:t>
            </w:r>
            <w:r w:rsidR="00202C8C"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Aplicarea  cunoştinţele teoretice  în procesul de formare continuă.</w:t>
            </w:r>
          </w:p>
        </w:tc>
      </w:tr>
      <w:tr w:rsidR="00FD448A" w:rsidRPr="00B75444" w:rsidTr="00B75444">
        <w:tc>
          <w:tcPr>
            <w:tcW w:w="2127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654" w:type="dxa"/>
          </w:tcPr>
          <w:p w:rsidR="00202C8C" w:rsidRPr="00B75444" w:rsidRDefault="00B75444" w:rsidP="00B75444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contribuie la elucidarea concepţiilor etice ale îndrumătorilor omenirii şi ale filozofilor moralei.</w:t>
            </w:r>
          </w:p>
          <w:p w:rsidR="00202C8C" w:rsidRPr="00B75444" w:rsidRDefault="00B75444" w:rsidP="00B75444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Să contribuie la dezvăluirea dialectică a legislaţiei privind rolul judecătorului în societate.</w:t>
            </w:r>
          </w:p>
          <w:p w:rsidR="00202C8C" w:rsidRPr="00B75444" w:rsidRDefault="00B75444" w:rsidP="00B75444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</w:t>
            </w:r>
            <w:r w:rsidR="00202C8C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ă utilizeze coerent unităţi lexicale noi: exerciţii de vocabular, lexico-semantice, de compoziţ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ie.</w:t>
            </w:r>
          </w:p>
          <w:p w:rsidR="00202C8C" w:rsidRPr="00B75444" w:rsidRDefault="00B75444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</w:t>
            </w:r>
            <w:r w:rsidR="00202C8C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ă determine conceptele de bază a comunică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rii.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FD448A" w:rsidRPr="00B75444" w:rsidRDefault="00B75444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Conținutul unită</w:t>
      </w:r>
      <w:r w:rsidR="00FD448A"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ții de curs/modulului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275"/>
        <w:gridCol w:w="1418"/>
      </w:tblGrid>
      <w:tr w:rsidR="00FD448A" w:rsidRPr="00B75444" w:rsidTr="00B75444">
        <w:tc>
          <w:tcPr>
            <w:tcW w:w="7196" w:type="dxa"/>
            <w:vMerge w:val="restart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Tematica 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activităților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didactice</w:t>
            </w:r>
          </w:p>
        </w:tc>
        <w:tc>
          <w:tcPr>
            <w:tcW w:w="2693" w:type="dxa"/>
            <w:gridSpan w:val="2"/>
            <w:vAlign w:val="center"/>
          </w:tcPr>
          <w:p w:rsidR="00FD448A" w:rsidRPr="00B75444" w:rsidRDefault="00B75444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rul de ore</w:t>
            </w:r>
          </w:p>
        </w:tc>
      </w:tr>
      <w:tr w:rsidR="00FD448A" w:rsidRPr="00B75444" w:rsidTr="00B75444">
        <w:tc>
          <w:tcPr>
            <w:tcW w:w="7196" w:type="dxa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D448A" w:rsidRPr="00B75444" w:rsidRDefault="00BE1AC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învățământ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cu 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frecvență</w:t>
            </w:r>
          </w:p>
        </w:tc>
        <w:tc>
          <w:tcPr>
            <w:tcW w:w="1418" w:type="dxa"/>
            <w:vAlign w:val="center"/>
          </w:tcPr>
          <w:p w:rsidR="00FD448A" w:rsidRPr="00B75444" w:rsidRDefault="00BE1AC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învățământ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cu 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frecvență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redusă</w:t>
            </w:r>
          </w:p>
        </w:tc>
      </w:tr>
      <w:tr w:rsidR="00FD448A" w:rsidRPr="00B75444" w:rsidTr="00B75444">
        <w:tc>
          <w:tcPr>
            <w:tcW w:w="9889" w:type="dxa"/>
            <w:gridSpan w:val="3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FD448A" w:rsidRPr="00B75444" w:rsidTr="00B75444">
        <w:tc>
          <w:tcPr>
            <w:tcW w:w="7196" w:type="dxa"/>
          </w:tcPr>
          <w:p w:rsidR="00FD448A" w:rsidRPr="00B75444" w:rsidRDefault="008432F2" w:rsidP="00B75444">
            <w:pPr>
              <w:spacing w:after="0" w:afterAutospacing="0" w:line="240" w:lineRule="auto"/>
              <w:ind w:left="426" w:hanging="426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Etica profesională, mediere și comunicare</w:t>
            </w:r>
          </w:p>
        </w:tc>
        <w:tc>
          <w:tcPr>
            <w:tcW w:w="1275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FD448A" w:rsidRPr="00B75444" w:rsidTr="00B75444"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Comunicarea – noţiuni generale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T2.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Nivelurile comunicării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T3.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Comunicarea orală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332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T4.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Comunicarea nonverbală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325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T5.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Comunicarea în scris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198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T6.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Textul oficial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276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lastRenderedPageBreak/>
              <w:t xml:space="preserve">T7.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Tipuri de texte oficiale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299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T8.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Obiectul, funcţiile şi problematica eticii juridice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rPr>
          <w:trHeight w:val="226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T9.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Categoriile   eticii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rPr>
          <w:trHeight w:val="392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T10.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Concepţiile etice ale îndrumătorilor omenirii</w:t>
            </w:r>
          </w:p>
        </w:tc>
        <w:tc>
          <w:tcPr>
            <w:tcW w:w="1275" w:type="dxa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309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ind w:left="708" w:hanging="708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T11.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Etica judiciară ca tip al eticii profesionale</w:t>
            </w:r>
          </w:p>
        </w:tc>
        <w:tc>
          <w:tcPr>
            <w:tcW w:w="1275" w:type="dxa"/>
            <w:vAlign w:val="center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300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T12.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Etica profesională a colaboratorului organelor de drept</w:t>
            </w:r>
          </w:p>
        </w:tc>
        <w:tc>
          <w:tcPr>
            <w:tcW w:w="1275" w:type="dxa"/>
            <w:vAlign w:val="center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FD448A" w:rsidRPr="00B75444" w:rsidTr="00B75444">
        <w:trPr>
          <w:trHeight w:val="495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T13.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Cerinţele morale a anchetatorului, procurorului, avocatului</w:t>
            </w:r>
          </w:p>
        </w:tc>
        <w:tc>
          <w:tcPr>
            <w:tcW w:w="1275" w:type="dxa"/>
            <w:vAlign w:val="center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rPr>
          <w:trHeight w:val="380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T14. </w:t>
            </w:r>
            <w:r w:rsidR="00590980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Argumente etice referitoare la problemele primordiale ale eticii judiciare</w:t>
            </w:r>
          </w:p>
        </w:tc>
        <w:tc>
          <w:tcPr>
            <w:tcW w:w="1275" w:type="dxa"/>
            <w:vAlign w:val="center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FD448A" w:rsidRPr="00B75444" w:rsidTr="00B75444">
        <w:trPr>
          <w:trHeight w:val="299"/>
        </w:trPr>
        <w:tc>
          <w:tcPr>
            <w:tcW w:w="7196" w:type="dxa"/>
          </w:tcPr>
          <w:p w:rsidR="00FD448A" w:rsidRPr="00B75444" w:rsidRDefault="00FD448A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FD448A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10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rPr>
          <w:rFonts w:ascii="Calibri" w:hAnsi="Calibri" w:cs="Calibri"/>
          <w:color w:val="auto"/>
          <w:sz w:val="22"/>
          <w:szCs w:val="22"/>
          <w:lang w:val="ro-RO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275"/>
        <w:gridCol w:w="1418"/>
      </w:tblGrid>
      <w:tr w:rsidR="00FD448A" w:rsidRPr="00B75444" w:rsidTr="00B75444">
        <w:tc>
          <w:tcPr>
            <w:tcW w:w="7196" w:type="dxa"/>
            <w:vMerge w:val="restart"/>
            <w:vAlign w:val="center"/>
          </w:tcPr>
          <w:p w:rsidR="00FD448A" w:rsidRPr="00B75444" w:rsidRDefault="00E43E7E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Tematica activită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ților didactice</w:t>
            </w:r>
          </w:p>
        </w:tc>
        <w:tc>
          <w:tcPr>
            <w:tcW w:w="2693" w:type="dxa"/>
            <w:gridSpan w:val="2"/>
            <w:vAlign w:val="center"/>
          </w:tcPr>
          <w:p w:rsidR="00FD448A" w:rsidRPr="00B75444" w:rsidRDefault="00782BBD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rul de ore</w:t>
            </w:r>
          </w:p>
        </w:tc>
      </w:tr>
      <w:tr w:rsidR="00FD448A" w:rsidRPr="00B75444" w:rsidTr="00B75444">
        <w:tc>
          <w:tcPr>
            <w:tcW w:w="7196" w:type="dxa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D448A" w:rsidRPr="00B75444" w:rsidRDefault="00495ACE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Învățământ </w:t>
            </w:r>
            <w:r w:rsidR="00E43E7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cu frecvență</w:t>
            </w:r>
          </w:p>
        </w:tc>
        <w:tc>
          <w:tcPr>
            <w:tcW w:w="1418" w:type="dxa"/>
            <w:vAlign w:val="center"/>
          </w:tcPr>
          <w:p w:rsidR="00FD448A" w:rsidRPr="00B75444" w:rsidRDefault="00495ACE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Învățământ</w:t>
            </w:r>
            <w:r w:rsidR="00E43E7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cu frecvență redusă</w:t>
            </w:r>
          </w:p>
        </w:tc>
      </w:tr>
      <w:tr w:rsidR="00FD448A" w:rsidRPr="00B75444" w:rsidTr="00B75444">
        <w:tc>
          <w:tcPr>
            <w:tcW w:w="9889" w:type="dxa"/>
            <w:gridSpan w:val="3"/>
          </w:tcPr>
          <w:p w:rsidR="00FD448A" w:rsidRPr="00B75444" w:rsidRDefault="00782BBD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lucră</w:t>
            </w:r>
            <w:r w:rsidR="00FD448A"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rilor de laborator/seminarelor</w:t>
            </w:r>
          </w:p>
        </w:tc>
      </w:tr>
      <w:tr w:rsidR="00FD448A" w:rsidRPr="00B75444" w:rsidTr="00B75444">
        <w:tc>
          <w:tcPr>
            <w:tcW w:w="7196" w:type="dxa"/>
          </w:tcPr>
          <w:p w:rsidR="00FD448A" w:rsidRPr="00B75444" w:rsidRDefault="008432F2" w:rsidP="00B75444">
            <w:pPr>
              <w:spacing w:after="0" w:afterAutospacing="0" w:line="240" w:lineRule="auto"/>
              <w:ind w:left="426" w:hanging="426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Etica profesională, mediere și comunicare</w:t>
            </w:r>
          </w:p>
        </w:tc>
        <w:tc>
          <w:tcPr>
            <w:tcW w:w="1275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FD448A" w:rsidRPr="00B75444" w:rsidRDefault="00FD448A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1. Comunicarea – noţiuni generale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2. Nivelurile comunicării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3. Comunicarea orală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4. Comunicarea nonverbală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5. Comunicarea în scris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6. Textul oficial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7. Tipuri de texte oficiale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8. Obiectul, funcţiile şi problematica eticii juridice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9. Categoriile   eticii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rPr>
          <w:trHeight w:val="253"/>
        </w:trPr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10. Concepţiile etice ale îndrumătorilor omenirii</w:t>
            </w:r>
          </w:p>
        </w:tc>
        <w:tc>
          <w:tcPr>
            <w:tcW w:w="1275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rPr>
          <w:trHeight w:val="299"/>
        </w:trPr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ind w:left="708" w:hanging="708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11. Etica judiciară ca tip al eticii profesionale</w:t>
            </w:r>
          </w:p>
        </w:tc>
        <w:tc>
          <w:tcPr>
            <w:tcW w:w="1275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rPr>
          <w:trHeight w:val="299"/>
        </w:trPr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12. Etica profesională a colaboratorului organelor de drept</w:t>
            </w:r>
          </w:p>
        </w:tc>
        <w:tc>
          <w:tcPr>
            <w:tcW w:w="1275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0,5</w:t>
            </w:r>
          </w:p>
        </w:tc>
      </w:tr>
      <w:tr w:rsidR="007C2731" w:rsidRPr="00B75444" w:rsidTr="00B75444">
        <w:trPr>
          <w:trHeight w:val="299"/>
        </w:trPr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13. Cerinţele morale a anchetatorului, procurorului, avocatului</w:t>
            </w:r>
          </w:p>
        </w:tc>
        <w:tc>
          <w:tcPr>
            <w:tcW w:w="1275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rPr>
          <w:trHeight w:val="299"/>
        </w:trPr>
        <w:tc>
          <w:tcPr>
            <w:tcW w:w="7196" w:type="dxa"/>
          </w:tcPr>
          <w:p w:rsidR="007C2731" w:rsidRPr="00B75444" w:rsidRDefault="00B75444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LP</w:t>
            </w:r>
            <w:r w:rsidR="007C2731"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14. Argumente etice referitoare la problemele primordiale ale eticii judiciare</w:t>
            </w:r>
          </w:p>
        </w:tc>
        <w:tc>
          <w:tcPr>
            <w:tcW w:w="1275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C2731" w:rsidRPr="00B75444" w:rsidTr="00B75444">
        <w:trPr>
          <w:trHeight w:val="299"/>
        </w:trPr>
        <w:tc>
          <w:tcPr>
            <w:tcW w:w="7196" w:type="dxa"/>
          </w:tcPr>
          <w:p w:rsidR="007C2731" w:rsidRPr="00B75444" w:rsidRDefault="007C2731" w:rsidP="00B75444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7C2731" w:rsidRPr="00B75444" w:rsidRDefault="007C2731" w:rsidP="00B75444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10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Referințe bibliografice</w:t>
      </w:r>
    </w:p>
    <w:tbl>
      <w:tblPr>
        <w:tblW w:w="989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8475"/>
      </w:tblGrid>
      <w:tr w:rsidR="00FD448A" w:rsidRPr="00B75444" w:rsidTr="00B75444">
        <w:tc>
          <w:tcPr>
            <w:tcW w:w="1416" w:type="dxa"/>
          </w:tcPr>
          <w:p w:rsidR="00FD448A" w:rsidRPr="00B75444" w:rsidRDefault="00FD448A" w:rsidP="00B7544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475" w:type="dxa"/>
          </w:tcPr>
          <w:p w:rsidR="00835B33" w:rsidRPr="00B75444" w:rsidRDefault="00835B33" w:rsidP="00835B33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Constituţia RM din 29.07.94  // M.O. -Nr.1 din 12.08.1994.</w:t>
            </w:r>
          </w:p>
          <w:p w:rsidR="00835B33" w:rsidRPr="00B75444" w:rsidRDefault="00835B33" w:rsidP="00835B33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Codul civil, nr.1107-XV din 06.06.2002.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Î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n: Monitorul Oficial al Republicii Moldova nr.82-86/661 din 22.06.2002.</w:t>
            </w:r>
          </w:p>
          <w:p w:rsidR="00835B33" w:rsidRPr="00B75444" w:rsidRDefault="00835B33" w:rsidP="00835B33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Codul muncii, nr.154-XV din 28.03.2003.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Î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n: Monitorul Oficial al Republicii Moldova nr.159-162/648 din 29.07.2003.</w:t>
            </w:r>
          </w:p>
          <w:p w:rsidR="00835B33" w:rsidRDefault="00835B33" w:rsidP="00835B33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Codul contravenţional, nr.218-XVI din 24.10.2008.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Î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n: Monitorul Oficial al Republicii Moldova nr.3-6/15 din 16.01.2009.</w:t>
            </w:r>
          </w:p>
          <w:p w:rsidR="00835B33" w:rsidRPr="00B75444" w:rsidRDefault="00835B33" w:rsidP="00835B33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Codul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de e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tic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ă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j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udecătorului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,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aprobat prin Hotărârea Consiliului Superior al Magistraturii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B75444"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nr. 366/15 din  29 noiembrie 2007.</w:t>
            </w:r>
          </w:p>
          <w:p w:rsidR="00835B33" w:rsidRPr="00B75444" w:rsidRDefault="00835B33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Bihan  Le Christ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ine. Marile probleme ale eticii.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Iaşi, 1999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835B33" w:rsidRPr="00B75444" w:rsidRDefault="00835B33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Bîrliba C.H. Morala: esenţă, noţiuni, principii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Chişinău, 1987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835B33" w:rsidRPr="00B75444" w:rsidRDefault="00835B33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Style w:val="FontStyle21"/>
                <w:rFonts w:ascii="Calibri" w:eastAsia="MS Mincho" w:hAnsi="Calibri" w:cs="Calibri"/>
                <w:bCs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Capcelea V. Filosofie. Introducere în istoria filosofiei şi în studiul principalelor domenii ale 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lastRenderedPageBreak/>
              <w:t>filosofiei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Chişinău, 1998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835B33" w:rsidRPr="00B75444" w:rsidRDefault="00835B33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Capcelea V.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Etica şi deontologia juridică.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Chişinău, 2002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835B33" w:rsidRPr="00B75444" w:rsidRDefault="00835B33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Sabatli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A.M.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Codul bunelor maniere în afaceri. Avantajul competitiv al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profesionalismului de azi.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Bucureşti, 2000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FD448A" w:rsidRPr="00B75444" w:rsidRDefault="00FD448A" w:rsidP="00B75444">
            <w:pPr>
              <w:pStyle w:val="a"/>
              <w:numPr>
                <w:ilvl w:val="0"/>
                <w:numId w:val="17"/>
              </w:numPr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D448A" w:rsidRPr="00B75444" w:rsidTr="00B75444">
        <w:tc>
          <w:tcPr>
            <w:tcW w:w="1416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Suplimentare</w:t>
            </w:r>
          </w:p>
        </w:tc>
        <w:tc>
          <w:tcPr>
            <w:tcW w:w="8475" w:type="dxa"/>
          </w:tcPr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Coranul. Traducere din arabă de dr. Silvestru Octavian Isopescu, ed. Cartier, 2001.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Etica pedagogică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Chişinău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: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Universitatea de Stat „Ion Creangă”, 1998.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Ianoşi N. Nitzsche: morală, atmosferă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// Apostrof, 1993, nr. 1.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Leonardescu C.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Etica şi conduita civică.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Bucureşti, 1999.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Papini G.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Viaţa lui Iisus.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Chişinău, 1991.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Parabole şi învăţăturile Domnului nostru Iisus Hristos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Bucureşti, 1998.</w:t>
            </w:r>
          </w:p>
          <w:p w:rsidR="00835B33" w:rsidRPr="00B75444" w:rsidRDefault="00835B33" w:rsidP="00B754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Renan E.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Viaţa lui Iisus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Bucureşti, 1991.</w:t>
            </w:r>
          </w:p>
          <w:p w:rsidR="00FD448A" w:rsidRPr="00B75444" w:rsidRDefault="00835B33" w:rsidP="00835B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Rus 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Istoria filosofiei islamice.</w:t>
            </w:r>
            <w:r w:rsidRPr="00B75444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Bucureşti, 1994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ind w:left="720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</w:p>
    <w:p w:rsidR="00FD448A" w:rsidRPr="00B75444" w:rsidRDefault="00FD448A" w:rsidP="00B7544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hAnsi="Calibri" w:cs="Calibri"/>
          <w:b/>
          <w:color w:val="auto"/>
          <w:sz w:val="22"/>
          <w:szCs w:val="22"/>
          <w:lang w:val="ro-RO"/>
        </w:rPr>
      </w:pPr>
      <w:r w:rsidRPr="00B75444">
        <w:rPr>
          <w:rFonts w:ascii="Calibri" w:hAnsi="Calibri" w:cs="Calibri"/>
          <w:b/>
          <w:color w:val="auto"/>
          <w:sz w:val="22"/>
          <w:szCs w:val="22"/>
          <w:lang w:val="ro-RO"/>
        </w:rPr>
        <w:t>Evaluare</w:t>
      </w:r>
    </w:p>
    <w:tbl>
      <w:tblPr>
        <w:tblW w:w="989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3253"/>
      </w:tblGrid>
      <w:tr w:rsidR="00FD448A" w:rsidRPr="00B75444" w:rsidTr="00835B33">
        <w:tc>
          <w:tcPr>
            <w:tcW w:w="4425" w:type="dxa"/>
            <w:gridSpan w:val="2"/>
            <w:vAlign w:val="center"/>
          </w:tcPr>
          <w:p w:rsidR="00FD448A" w:rsidRPr="00B75444" w:rsidRDefault="00495ACE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253" w:type="dxa"/>
            <w:vMerge w:val="restart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FD448A" w:rsidRPr="00B75444" w:rsidTr="00835B33">
        <w:tc>
          <w:tcPr>
            <w:tcW w:w="2212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0" w:type="auto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53" w:type="dxa"/>
            <w:vMerge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  <w:tr w:rsidR="00FD448A" w:rsidRPr="00B75444" w:rsidTr="00835B33">
        <w:tc>
          <w:tcPr>
            <w:tcW w:w="2212" w:type="dxa"/>
          </w:tcPr>
          <w:p w:rsidR="00FD448A" w:rsidRPr="00B75444" w:rsidRDefault="008432F2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S6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– Zi:  30%</w:t>
            </w:r>
          </w:p>
        </w:tc>
        <w:tc>
          <w:tcPr>
            <w:tcW w:w="221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221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25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FD448A" w:rsidRPr="00B75444" w:rsidTr="00835B33">
        <w:tc>
          <w:tcPr>
            <w:tcW w:w="2212" w:type="dxa"/>
          </w:tcPr>
          <w:p w:rsidR="00FD448A" w:rsidRPr="00B75444" w:rsidRDefault="008432F2" w:rsidP="00B75444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        S7</w:t>
            </w:r>
            <w:r w:rsidR="00FD448A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 f/r      -</w:t>
            </w:r>
          </w:p>
        </w:tc>
        <w:tc>
          <w:tcPr>
            <w:tcW w:w="2213" w:type="dxa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13" w:type="dxa"/>
          </w:tcPr>
          <w:p w:rsidR="00FD448A" w:rsidRPr="00B75444" w:rsidRDefault="00B81F80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20%</w:t>
            </w:r>
          </w:p>
        </w:tc>
        <w:tc>
          <w:tcPr>
            <w:tcW w:w="3253" w:type="dxa"/>
          </w:tcPr>
          <w:p w:rsidR="00FD448A" w:rsidRPr="00B75444" w:rsidRDefault="00782BBD" w:rsidP="00B7544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80%</w:t>
            </w:r>
          </w:p>
        </w:tc>
      </w:tr>
      <w:tr w:rsidR="00FD448A" w:rsidRPr="00B75444" w:rsidTr="00835B33">
        <w:tc>
          <w:tcPr>
            <w:tcW w:w="9891" w:type="dxa"/>
            <w:gridSpan w:val="4"/>
            <w:vAlign w:val="center"/>
          </w:tcPr>
          <w:p w:rsidR="00FD448A" w:rsidRPr="00B75444" w:rsidRDefault="00782BBD" w:rsidP="00B75444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Standard minim de performanță</w:t>
            </w:r>
          </w:p>
        </w:tc>
      </w:tr>
      <w:tr w:rsidR="00FD448A" w:rsidRPr="00B75444" w:rsidTr="00835B33">
        <w:tc>
          <w:tcPr>
            <w:tcW w:w="9891" w:type="dxa"/>
            <w:gridSpan w:val="4"/>
            <w:vAlign w:val="center"/>
          </w:tcPr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Prezența și activitatea la prelegeri și seminarii;</w:t>
            </w:r>
          </w:p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Obținerea notei minime</w:t>
            </w:r>
            <w:r w:rsidR="00495ACE"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de „5” la fiecare dintre atestă</w:t>
            </w:r>
            <w:r w:rsidRPr="00B75444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ri;</w:t>
            </w:r>
          </w:p>
          <w:p w:rsidR="00FD448A" w:rsidRPr="00B75444" w:rsidRDefault="00495ACE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Activitate susținută</w:t>
            </w:r>
            <w:r w:rsidR="00782BBD"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în </w:t>
            </w:r>
            <w:r w:rsidR="00FD448A" w:rsidRPr="00B75444">
              <w:rPr>
                <w:rFonts w:ascii="Calibri" w:hAnsi="Calibri" w:cs="Calibri"/>
                <w:sz w:val="22"/>
                <w:szCs w:val="22"/>
                <w:lang w:val="ro-RO"/>
              </w:rPr>
              <w:t>timpul semestrului;</w:t>
            </w:r>
          </w:p>
          <w:p w:rsidR="00FD448A" w:rsidRPr="00B75444" w:rsidRDefault="00FD448A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Exprimare clar</w:t>
            </w:r>
            <w:r w:rsidR="00782BBD"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ă și concisă </w:t>
            </w:r>
            <w:r w:rsidR="00495ACE" w:rsidRPr="00B75444">
              <w:rPr>
                <w:rFonts w:ascii="Calibri" w:hAnsi="Calibri" w:cs="Calibri"/>
                <w:sz w:val="22"/>
                <w:szCs w:val="22"/>
                <w:lang w:val="ro-RO"/>
              </w:rPr>
              <w:t>în</w:t>
            </w: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limbajul juridic;</w:t>
            </w:r>
          </w:p>
          <w:p w:rsidR="00FD448A" w:rsidRPr="00B75444" w:rsidRDefault="00495ACE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În</w:t>
            </w:r>
            <w:r w:rsidR="00782BBD" w:rsidRPr="00B75444">
              <w:rPr>
                <w:rFonts w:ascii="Calibri" w:hAnsi="Calibri" w:cs="Calibri"/>
                <w:sz w:val="22"/>
                <w:szCs w:val="22"/>
                <w:lang w:val="ro-RO"/>
              </w:rPr>
              <w:t>sușirea noțiunilor de bază</w:t>
            </w:r>
            <w:r w:rsidR="00FD448A" w:rsidRPr="00B75444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ale disciplinei </w:t>
            </w:r>
            <w:r w:rsidR="008432F2" w:rsidRPr="00B75444">
              <w:rPr>
                <w:rFonts w:ascii="Calibri" w:hAnsi="Calibri" w:cs="Calibri"/>
                <w:sz w:val="22"/>
                <w:szCs w:val="22"/>
                <w:lang w:val="ro-RO"/>
              </w:rPr>
              <w:t>Etica profesională, mediere și comunicare</w:t>
            </w:r>
            <w:r w:rsidR="00FD448A" w:rsidRPr="00B75444">
              <w:rPr>
                <w:rFonts w:ascii="Calibri" w:hAnsi="Calibri" w:cs="Calibri"/>
                <w:sz w:val="22"/>
                <w:szCs w:val="22"/>
                <w:lang w:val="ro-RO"/>
              </w:rPr>
              <w:t>;</w:t>
            </w:r>
          </w:p>
          <w:p w:rsidR="00FD448A" w:rsidRPr="00B75444" w:rsidRDefault="00782BBD" w:rsidP="00B7544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B75444">
              <w:rPr>
                <w:rFonts w:ascii="Calibri" w:hAnsi="Calibri" w:cs="Calibri"/>
                <w:sz w:val="22"/>
                <w:szCs w:val="22"/>
                <w:lang w:val="ro-RO"/>
              </w:rPr>
              <w:t>Soluț</w:t>
            </w:r>
            <w:r w:rsidR="00FD448A" w:rsidRPr="00B75444">
              <w:rPr>
                <w:rFonts w:ascii="Calibri" w:hAnsi="Calibri" w:cs="Calibri"/>
                <w:sz w:val="22"/>
                <w:szCs w:val="22"/>
                <w:lang w:val="ro-RO"/>
              </w:rPr>
              <w:t>ionarea corecta a minimum 45% din totalul subiectelor din testul de examinare final.</w:t>
            </w:r>
          </w:p>
        </w:tc>
      </w:tr>
    </w:tbl>
    <w:p w:rsidR="00FD448A" w:rsidRPr="00B75444" w:rsidRDefault="00FD448A" w:rsidP="00B75444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p w:rsidR="00FD448A" w:rsidRPr="00B75444" w:rsidRDefault="00FD448A" w:rsidP="00B75444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p w:rsidR="00FD448A" w:rsidRPr="00B75444" w:rsidRDefault="00FD448A" w:rsidP="00B75444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sectPr w:rsidR="00FD448A" w:rsidRPr="00B75444" w:rsidSect="00DD7D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11" w:rsidRDefault="007A1F11" w:rsidP="00E41219">
      <w:pPr>
        <w:spacing w:after="0" w:line="240" w:lineRule="auto"/>
      </w:pPr>
      <w:r>
        <w:separator/>
      </w:r>
    </w:p>
  </w:endnote>
  <w:endnote w:type="continuationSeparator" w:id="0">
    <w:p w:rsidR="007A1F11" w:rsidRDefault="007A1F11" w:rsidP="00E4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5464"/>
      <w:docPartObj>
        <w:docPartGallery w:val="Page Numbers (Bottom of Page)"/>
        <w:docPartUnique/>
      </w:docPartObj>
    </w:sdtPr>
    <w:sdtContent>
      <w:p w:rsidR="007638A7" w:rsidRDefault="008B50D4">
        <w:pPr>
          <w:pStyle w:val="aa"/>
          <w:jc w:val="center"/>
        </w:pPr>
        <w:fldSimple w:instr=" PAGE   \* MERGEFORMAT ">
          <w:r w:rsidR="00B01835">
            <w:rPr>
              <w:noProof/>
            </w:rPr>
            <w:t>4</w:t>
          </w:r>
        </w:fldSimple>
      </w:p>
    </w:sdtContent>
  </w:sdt>
  <w:p w:rsidR="007638A7" w:rsidRDefault="007638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11" w:rsidRDefault="007A1F11" w:rsidP="00E41219">
      <w:pPr>
        <w:spacing w:after="0" w:line="240" w:lineRule="auto"/>
      </w:pPr>
      <w:r>
        <w:separator/>
      </w:r>
    </w:p>
  </w:footnote>
  <w:footnote w:type="continuationSeparator" w:id="0">
    <w:p w:rsidR="007A1F11" w:rsidRDefault="007A1F11" w:rsidP="00E4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7" w:rsidRPr="00ED6734" w:rsidRDefault="007638A7" w:rsidP="00B737C7">
    <w:pPr>
      <w:pStyle w:val="headertext"/>
      <w:pBdr>
        <w:bottom w:val="single" w:sz="4" w:space="1" w:color="0A522A"/>
      </w:pBdr>
      <w:rPr>
        <w:rFonts w:ascii="Calibri" w:hAnsi="Calibri"/>
        <w:caps/>
        <w:color w:val="1F497D"/>
        <w:spacing w:val="20"/>
        <w:sz w:val="20"/>
        <w:szCs w:val="22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9125"/>
          <wp:effectExtent l="0" t="0" r="0" b="9525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/>
        <w:caps/>
        <w:color w:val="1F497D"/>
        <w:spacing w:val="20"/>
        <w:sz w:val="20"/>
        <w:szCs w:val="22"/>
      </w:rPr>
      <w:t>FIŞA UNITĂŢII DE CURS/MOdulului</w:t>
    </w:r>
  </w:p>
  <w:p w:rsidR="007638A7" w:rsidRDefault="007638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0F"/>
    <w:multiLevelType w:val="hybridMultilevel"/>
    <w:tmpl w:val="2618C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F54"/>
    <w:multiLevelType w:val="hybridMultilevel"/>
    <w:tmpl w:val="3E1056FE"/>
    <w:lvl w:ilvl="0" w:tplc="D75CA73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6D92"/>
    <w:multiLevelType w:val="hybridMultilevel"/>
    <w:tmpl w:val="9DAA2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54F"/>
    <w:multiLevelType w:val="hybridMultilevel"/>
    <w:tmpl w:val="CB6C9DAC"/>
    <w:lvl w:ilvl="0" w:tplc="545004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1741C"/>
    <w:multiLevelType w:val="hybridMultilevel"/>
    <w:tmpl w:val="1804BC20"/>
    <w:lvl w:ilvl="0" w:tplc="B40816F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832BE"/>
    <w:multiLevelType w:val="hybridMultilevel"/>
    <w:tmpl w:val="B5A4DF4E"/>
    <w:lvl w:ilvl="0" w:tplc="545004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2CD2"/>
    <w:multiLevelType w:val="hybridMultilevel"/>
    <w:tmpl w:val="8610B8F8"/>
    <w:lvl w:ilvl="0" w:tplc="850ECF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C82"/>
    <w:multiLevelType w:val="hybridMultilevel"/>
    <w:tmpl w:val="ADB0EF50"/>
    <w:lvl w:ilvl="0" w:tplc="4E36F0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82C67"/>
    <w:multiLevelType w:val="multilevel"/>
    <w:tmpl w:val="F37C8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2B3E"/>
    <w:multiLevelType w:val="multilevel"/>
    <w:tmpl w:val="293C68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4AB16E2"/>
    <w:multiLevelType w:val="hybridMultilevel"/>
    <w:tmpl w:val="2FE85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02F55"/>
    <w:multiLevelType w:val="hybridMultilevel"/>
    <w:tmpl w:val="2E48F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50DD2"/>
    <w:multiLevelType w:val="hybridMultilevel"/>
    <w:tmpl w:val="93640EB6"/>
    <w:lvl w:ilvl="0" w:tplc="B492FD6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45218A"/>
    <w:multiLevelType w:val="hybridMultilevel"/>
    <w:tmpl w:val="A6F6DE64"/>
    <w:lvl w:ilvl="0" w:tplc="545004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2A1F63"/>
    <w:multiLevelType w:val="hybridMultilevel"/>
    <w:tmpl w:val="A082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568D3"/>
    <w:multiLevelType w:val="hybridMultilevel"/>
    <w:tmpl w:val="53FC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3EBF"/>
    <w:rsid w:val="000E3AD6"/>
    <w:rsid w:val="00110A70"/>
    <w:rsid w:val="00117930"/>
    <w:rsid w:val="00174ACB"/>
    <w:rsid w:val="00202C8C"/>
    <w:rsid w:val="00245E73"/>
    <w:rsid w:val="00250469"/>
    <w:rsid w:val="002D0B98"/>
    <w:rsid w:val="002D188A"/>
    <w:rsid w:val="00300AD8"/>
    <w:rsid w:val="003267B2"/>
    <w:rsid w:val="003351A1"/>
    <w:rsid w:val="0036276E"/>
    <w:rsid w:val="003E7103"/>
    <w:rsid w:val="004272D2"/>
    <w:rsid w:val="00495ACE"/>
    <w:rsid w:val="00524D96"/>
    <w:rsid w:val="00567221"/>
    <w:rsid w:val="005706FB"/>
    <w:rsid w:val="0057551F"/>
    <w:rsid w:val="00590980"/>
    <w:rsid w:val="00596B0D"/>
    <w:rsid w:val="006843A7"/>
    <w:rsid w:val="00715CA0"/>
    <w:rsid w:val="00730BF8"/>
    <w:rsid w:val="007638A7"/>
    <w:rsid w:val="00782BBD"/>
    <w:rsid w:val="0078605E"/>
    <w:rsid w:val="007A1F11"/>
    <w:rsid w:val="007C2731"/>
    <w:rsid w:val="00805F08"/>
    <w:rsid w:val="00835B33"/>
    <w:rsid w:val="00843217"/>
    <w:rsid w:val="008432F2"/>
    <w:rsid w:val="00883EBF"/>
    <w:rsid w:val="008B50D4"/>
    <w:rsid w:val="008C625E"/>
    <w:rsid w:val="008D0328"/>
    <w:rsid w:val="00940AB1"/>
    <w:rsid w:val="00942432"/>
    <w:rsid w:val="0094436C"/>
    <w:rsid w:val="00975ECF"/>
    <w:rsid w:val="00976541"/>
    <w:rsid w:val="009B30CB"/>
    <w:rsid w:val="009F51A8"/>
    <w:rsid w:val="00A00DF7"/>
    <w:rsid w:val="00A0386C"/>
    <w:rsid w:val="00A13305"/>
    <w:rsid w:val="00A47A58"/>
    <w:rsid w:val="00AA5879"/>
    <w:rsid w:val="00AF32EB"/>
    <w:rsid w:val="00B01835"/>
    <w:rsid w:val="00B532F8"/>
    <w:rsid w:val="00B63B4E"/>
    <w:rsid w:val="00B72961"/>
    <w:rsid w:val="00B737C7"/>
    <w:rsid w:val="00B75444"/>
    <w:rsid w:val="00B81F80"/>
    <w:rsid w:val="00B8264C"/>
    <w:rsid w:val="00BC1178"/>
    <w:rsid w:val="00BC3A28"/>
    <w:rsid w:val="00BE1AC1"/>
    <w:rsid w:val="00C758BA"/>
    <w:rsid w:val="00C84836"/>
    <w:rsid w:val="00CE5D1C"/>
    <w:rsid w:val="00D75D0E"/>
    <w:rsid w:val="00DD7D36"/>
    <w:rsid w:val="00E41219"/>
    <w:rsid w:val="00E43E7E"/>
    <w:rsid w:val="00E4536F"/>
    <w:rsid w:val="00E506BB"/>
    <w:rsid w:val="00E551BD"/>
    <w:rsid w:val="00E86FDC"/>
    <w:rsid w:val="00E92CD2"/>
    <w:rsid w:val="00EC3B8E"/>
    <w:rsid w:val="00ED6734"/>
    <w:rsid w:val="00F27397"/>
    <w:rsid w:val="00F57D36"/>
    <w:rsid w:val="00F62DE5"/>
    <w:rsid w:val="00F74A8D"/>
    <w:rsid w:val="00F979D5"/>
    <w:rsid w:val="00FB390D"/>
    <w:rsid w:val="00FC2881"/>
    <w:rsid w:val="00FC4EDB"/>
    <w:rsid w:val="00F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EBF"/>
    <w:pPr>
      <w:spacing w:after="100" w:afterAutospacing="1" w:line="360" w:lineRule="auto"/>
    </w:pPr>
    <w:rPr>
      <w:rFonts w:ascii="Calisto MT" w:eastAsia="Times New Roman" w:hAnsi="Calisto MT"/>
      <w:color w:val="191919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883EBF"/>
    <w:rPr>
      <w:rFonts w:cs="Times New Roman"/>
      <w:color w:val="0000FF"/>
      <w:u w:val="single"/>
    </w:rPr>
  </w:style>
  <w:style w:type="paragraph" w:styleId="a">
    <w:name w:val="List Paragraph"/>
    <w:basedOn w:val="a0"/>
    <w:uiPriority w:val="34"/>
    <w:qFormat/>
    <w:rsid w:val="00883EBF"/>
    <w:pPr>
      <w:numPr>
        <w:numId w:val="1"/>
      </w:numPr>
      <w:contextualSpacing/>
    </w:pPr>
  </w:style>
  <w:style w:type="table" w:styleId="a5">
    <w:name w:val="Table Grid"/>
    <w:basedOn w:val="a2"/>
    <w:uiPriority w:val="99"/>
    <w:rsid w:val="00883EBF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rsid w:val="0088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83EBF"/>
    <w:rPr>
      <w:rFonts w:ascii="Calisto MT" w:hAnsi="Calisto MT" w:cs="Times New Roman"/>
      <w:color w:val="191919"/>
      <w:sz w:val="20"/>
      <w:szCs w:val="20"/>
      <w:lang w:val="en-US"/>
    </w:rPr>
  </w:style>
  <w:style w:type="paragraph" w:customStyle="1" w:styleId="headertext">
    <w:name w:val="header text"/>
    <w:basedOn w:val="a6"/>
    <w:uiPriority w:val="99"/>
    <w:rsid w:val="00883EBF"/>
    <w:pPr>
      <w:pBdr>
        <w:bottom w:val="dotted" w:sz="8" w:space="1" w:color="C0504D"/>
      </w:pBdr>
      <w:tabs>
        <w:tab w:val="clear" w:pos="4677"/>
        <w:tab w:val="clear" w:pos="9355"/>
        <w:tab w:val="center" w:pos="4320"/>
        <w:tab w:val="right" w:pos="8640"/>
      </w:tabs>
      <w:spacing w:afterAutospacing="0"/>
    </w:pPr>
    <w:rPr>
      <w:b/>
      <w:color w:val="C0504D"/>
      <w:sz w:val="16"/>
      <w:szCs w:val="16"/>
    </w:rPr>
  </w:style>
  <w:style w:type="paragraph" w:customStyle="1" w:styleId="Default">
    <w:name w:val="Default"/>
    <w:uiPriority w:val="99"/>
    <w:rsid w:val="00730BF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ro-RO" w:eastAsia="en-US"/>
    </w:rPr>
  </w:style>
  <w:style w:type="paragraph" w:styleId="a8">
    <w:name w:val="Subtitle"/>
    <w:basedOn w:val="a0"/>
    <w:next w:val="a0"/>
    <w:link w:val="a9"/>
    <w:qFormat/>
    <w:locked/>
    <w:rsid w:val="00F74A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rsid w:val="00F74A8D"/>
    <w:rPr>
      <w:rFonts w:asciiTheme="majorHAnsi" w:eastAsiaTheme="majorEastAsia" w:hAnsiTheme="majorHAnsi" w:cstheme="majorBidi"/>
      <w:color w:val="191919"/>
      <w:sz w:val="24"/>
      <w:szCs w:val="24"/>
      <w:lang w:val="en-US" w:eastAsia="en-US"/>
    </w:rPr>
  </w:style>
  <w:style w:type="character" w:customStyle="1" w:styleId="FontStyle21">
    <w:name w:val="Font Style21"/>
    <w:basedOn w:val="a1"/>
    <w:uiPriority w:val="99"/>
    <w:rsid w:val="002D188A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unhideWhenUsed/>
    <w:rsid w:val="00B7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75444"/>
    <w:rPr>
      <w:rFonts w:ascii="Calisto MT" w:eastAsia="Times New Roman" w:hAnsi="Calisto MT"/>
      <w:color w:val="191919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MD-2045, CHIȘINĂU, STR</vt:lpstr>
      <vt:lpstr>MD-2045, CHIȘINĂU, STR</vt:lpstr>
    </vt:vector>
  </TitlesOfParts>
  <Company>diakov.net</Company>
  <LinksUpToDate>false</LinksUpToDate>
  <CharactersWithSpaces>7966</CharactersWithSpaces>
  <SharedDoc>false</SharedDoc>
  <HLinks>
    <vt:vector size="6" baseType="variant"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http://www.utm.md/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CHIȘINĂU, STR</dc:title>
  <dc:creator>FCGC-DP</dc:creator>
  <cp:lastModifiedBy>FCGC-DP</cp:lastModifiedBy>
  <cp:revision>4</cp:revision>
  <dcterms:created xsi:type="dcterms:W3CDTF">2016-12-19T14:48:00Z</dcterms:created>
  <dcterms:modified xsi:type="dcterms:W3CDTF">2017-01-20T11:24:00Z</dcterms:modified>
</cp:coreProperties>
</file>